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pt;height:36.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</w:t>
            </w:r>
            <w:r w:rsidR="00D11A96">
              <w:rPr>
                <w:sz w:val="16"/>
              </w:rPr>
              <w:t>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S-.3.3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Driftsmeldinger - melde inn feil og mangler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Rutine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12.03.2025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12.03.2026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Rune Wiggen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RPr="00A90694" w:rsidP="00AA647B" w14:paraId="5A214358" w14:textId="50A929FB">
      <w:pPr>
        <w:pStyle w:val="Heading1"/>
        <w:numPr>
          <w:ilvl w:val="0"/>
          <w:numId w:val="3"/>
        </w:numPr>
        <w:ind w:left="426"/>
        <w:jc w:val="both"/>
      </w:pPr>
      <w:r>
        <w:t xml:space="preserve">Hensikt </w:t>
      </w:r>
      <w:r w:rsidRPr="009F7EB5">
        <w:t>og omfang</w:t>
      </w:r>
      <w:r>
        <w:t xml:space="preserve"> av rutinen</w:t>
      </w:r>
    </w:p>
    <w:p w:rsidR="003B0D92" w:rsidP="00AA647B" w14:paraId="64E84914" w14:textId="53483C15">
      <w:pPr>
        <w:spacing w:before="240"/>
        <w:ind w:left="85"/>
        <w:jc w:val="both"/>
      </w:pPr>
      <w:r>
        <w:t xml:space="preserve">Formålet med rutinen er å informere </w:t>
      </w:r>
      <w:r w:rsidR="006444FB">
        <w:t xml:space="preserve">personalet og </w:t>
      </w:r>
      <w:r>
        <w:t>studenter ved THYF om rutine for innmelding av</w:t>
      </w:r>
      <w:r w:rsidR="006444FB">
        <w:t xml:space="preserve"> feil og mangler som berører drift, vedlikehold og undervisning</w:t>
      </w:r>
      <w:r>
        <w:t>;</w:t>
      </w:r>
      <w:r w:rsidR="006444FB">
        <w:t xml:space="preserve"> og er av betydning for kvaliteten på de utdanningstilbudene og tjenestene som THYF tilbyr</w:t>
      </w:r>
      <w:r>
        <w:t>.</w:t>
      </w:r>
    </w:p>
    <w:p w:rsidR="00AA647B" w:rsidP="00AA647B" w14:paraId="268FE86E" w14:textId="20168AD2">
      <w:pPr>
        <w:spacing w:before="240"/>
        <w:ind w:left="85"/>
        <w:jc w:val="both"/>
      </w:pPr>
      <w:r>
        <w:t xml:space="preserve">Rutinen </w:t>
      </w:r>
      <w:r w:rsidR="006444FB">
        <w:t>gjeld</w:t>
      </w:r>
      <w:r>
        <w:t xml:space="preserve">er </w:t>
      </w:r>
      <w:r w:rsidR="006444FB">
        <w:t xml:space="preserve">for </w:t>
      </w:r>
      <w:r>
        <w:t>hele THYF.</w:t>
      </w:r>
    </w:p>
    <w:p w:rsidR="00B86626" w:rsidRPr="009F7EB5" w:rsidP="00AA647B" w14:paraId="7CF7A7C6" w14:textId="0CB6B653">
      <w:pPr>
        <w:pStyle w:val="Heading1"/>
        <w:numPr>
          <w:ilvl w:val="0"/>
          <w:numId w:val="3"/>
        </w:numPr>
        <w:ind w:left="426"/>
        <w:jc w:val="both"/>
      </w:pPr>
      <w:r>
        <w:t>Forklaring av ord og uttrykk</w:t>
      </w:r>
    </w:p>
    <w:p w:rsidR="00AA647B" w:rsidP="00AA647B" w14:paraId="29F8015B" w14:textId="1254D2EB">
      <w:pPr>
        <w:numPr>
          <w:ilvl w:val="0"/>
          <w:numId w:val="7"/>
        </w:numPr>
        <w:spacing w:before="240" w:after="120"/>
        <w:ind w:left="709" w:hanging="264"/>
        <w:jc w:val="both"/>
      </w:pPr>
      <w:r w:rsidRPr="006444FB">
        <w:rPr>
          <w:u w:val="single"/>
        </w:rPr>
        <w:t>Driftsmessige forhold</w:t>
      </w:r>
      <w:r>
        <w:t>: Forhold som er av betydning for driften av THYF</w:t>
      </w:r>
      <w:r w:rsidR="006444FB">
        <w:t xml:space="preserve"> og er av betydning for kvaliteten på utdanningstilbud og tjenester levert av THYF.</w:t>
      </w:r>
      <w:r>
        <w:t xml:space="preserve"> </w:t>
      </w:r>
    </w:p>
    <w:p w:rsidR="00B86626" w:rsidP="00AA647B" w14:paraId="6FA3EECD" w14:textId="6746C631">
      <w:pPr>
        <w:numPr>
          <w:ilvl w:val="0"/>
          <w:numId w:val="7"/>
        </w:numPr>
        <w:spacing w:after="120"/>
        <w:ind w:left="709" w:hanging="264"/>
        <w:jc w:val="both"/>
      </w:pPr>
      <w:r w:rsidRPr="006444FB">
        <w:rPr>
          <w:u w:val="single"/>
        </w:rPr>
        <w:t>Driftsmelding</w:t>
      </w:r>
      <w:r>
        <w:t>: Melding om feil og mangler knyttet til utstyr, undervisningsrom, laboratorier, IT-utrustning, skjermer, nettverk osv.</w:t>
      </w:r>
      <w:r w:rsidR="006444FB">
        <w:t xml:space="preserve"> Eksempler kan være projektorer som ikke fungerer, feil på simulatorer, tette toaletter.</w:t>
      </w:r>
    </w:p>
    <w:p w:rsidR="00B86626" w:rsidRPr="009F7EB5" w:rsidP="00AA647B" w14:paraId="431E085A" w14:textId="7C59F2DE">
      <w:pPr>
        <w:pStyle w:val="Heading1"/>
        <w:numPr>
          <w:ilvl w:val="0"/>
          <w:numId w:val="3"/>
        </w:numPr>
        <w:ind w:left="426"/>
        <w:jc w:val="both"/>
      </w:pPr>
      <w:r w:rsidRPr="009F7EB5">
        <w:t>Ansvar og myndighet</w:t>
      </w:r>
    </w:p>
    <w:p w:rsidR="007552A2" w:rsidP="00AA647B" w14:paraId="6445A0E4" w14:textId="65C1D9F0">
      <w:pPr>
        <w:spacing w:before="240" w:after="120"/>
        <w:ind w:left="85"/>
        <w:jc w:val="both"/>
      </w:pPr>
      <w:r>
        <w:t>Personalet ved THYF er ansvarlig for å melde inn feil og mangler knyttet til utstyr, undervisningsrom, laboratorier, IT-utrustning, skjermer, nettverk o.l.</w:t>
      </w:r>
    </w:p>
    <w:p w:rsidR="006444FB" w:rsidP="006444FB" w14:paraId="45E86A99" w14:textId="0A678D47">
      <w:pPr>
        <w:spacing w:before="240" w:after="120"/>
        <w:ind w:left="85"/>
        <w:jc w:val="both"/>
      </w:pPr>
      <w:r>
        <w:t xml:space="preserve">Studiestedskoordinator er ansvarlig for å følge opp </w:t>
      </w:r>
      <w:r w:rsidR="00970FF3">
        <w:t xml:space="preserve">og behandle </w:t>
      </w:r>
      <w:r>
        <w:t>driftsmeldinger knyttet til det enkelte studiested.</w:t>
      </w:r>
      <w:r w:rsidR="00970FF3">
        <w:t xml:space="preserve"> Det sendes ut varsel til melder ved mottak og etter utførelse av tiltak/arbeid.</w:t>
      </w:r>
    </w:p>
    <w:p w:rsidR="00F9677E" w:rsidRPr="00F9677E" w:rsidP="00AA647B" w14:paraId="2A668A33" w14:textId="034F222D">
      <w:pPr>
        <w:pStyle w:val="Heading1"/>
        <w:numPr>
          <w:ilvl w:val="0"/>
          <w:numId w:val="3"/>
        </w:numPr>
        <w:ind w:left="426"/>
        <w:jc w:val="both"/>
      </w:pPr>
      <w:r w:rsidRPr="009F7EB5">
        <w:t>Beskrivelse</w:t>
      </w:r>
    </w:p>
    <w:p w:rsidR="00E942E8" w:rsidP="00AA647B" w14:paraId="00A4D181" w14:textId="2E028C67">
      <w:pPr>
        <w:spacing w:before="240" w:after="120"/>
        <w:ind w:left="85"/>
        <w:jc w:val="both"/>
      </w:pPr>
      <w:r>
        <w:t xml:space="preserve">Feil og mangler knyttet til </w:t>
      </w:r>
      <w:r w:rsidR="006444FB">
        <w:t xml:space="preserve">utstyr, undervisningsrom, laboratorier, IT-utrustning, skjermer, nettverk o.l. </w:t>
      </w:r>
      <w:r>
        <w:t xml:space="preserve">vurderes med tanke på behov og </w:t>
      </w:r>
      <w:r w:rsidR="006444FB">
        <w:t xml:space="preserve">meldes inn </w:t>
      </w:r>
      <w:r w:rsidRPr="00970FF3" w:rsidR="006444FB">
        <w:rPr>
          <w:u w:val="single"/>
        </w:rPr>
        <w:t xml:space="preserve">som driftsmelding </w:t>
      </w:r>
      <w:r w:rsidRPr="00970FF3">
        <w:rPr>
          <w:u w:val="single"/>
        </w:rPr>
        <w:t>på eget skjema</w:t>
      </w:r>
      <w:r w:rsidR="006444FB">
        <w:t>.</w:t>
      </w:r>
      <w:r w:rsidR="00970FF3">
        <w:t xml:space="preserve"> </w:t>
      </w:r>
      <w:r>
        <w:t xml:space="preserve">Skjemaet </w:t>
      </w:r>
      <w:r w:rsidRPr="00970FF3" w:rsidR="00970FF3">
        <w:rPr>
          <w:i/>
          <w:iCs/>
        </w:rPr>
        <w:t>D</w:t>
      </w:r>
      <w:r w:rsidRPr="00970FF3">
        <w:rPr>
          <w:i/>
          <w:iCs/>
        </w:rPr>
        <w:t>riftsmelding</w:t>
      </w:r>
      <w:r>
        <w:t xml:space="preserve"> </w:t>
      </w:r>
      <w:r>
        <w:t xml:space="preserve">er tilgjengelig </w:t>
      </w:r>
      <w:r w:rsidR="00970FF3">
        <w:t>i</w:t>
      </w:r>
      <w:r>
        <w:t xml:space="preserve"> kvalitetsportalen til THYF.</w:t>
      </w:r>
    </w:p>
    <w:p w:rsidR="006444FB" w:rsidP="006444FB" w14:paraId="41DD31FE" w14:textId="6106015D">
      <w:pPr>
        <w:spacing w:before="240" w:after="120"/>
        <w:ind w:left="85"/>
        <w:jc w:val="both"/>
      </w:pPr>
      <w:r>
        <w:t xml:space="preserve">Studenter kan melde inn feil og mangler ved å kontakte ansatte ved THYF, som melder inn saken </w:t>
      </w:r>
      <w:r w:rsidR="00970FF3">
        <w:t>som d</w:t>
      </w:r>
      <w:r>
        <w:t>riftsmelding</w:t>
      </w:r>
      <w:r>
        <w:t>.</w:t>
      </w:r>
    </w:p>
    <w:p w:rsidR="00E942E8" w:rsidP="006444FB" w14:paraId="767AA3CF" w14:textId="7F211303">
      <w:pPr>
        <w:spacing w:before="240" w:after="120"/>
        <w:ind w:left="85"/>
        <w:jc w:val="both"/>
      </w:pPr>
      <w:r>
        <w:t>Melder fyller ut skjemaet. Beskriv saken så presist som mulig, se eksempel på utfylt skjema gitt som vedlegg til rutinen.</w:t>
      </w:r>
    </w:p>
    <w:p w:rsidR="00E942E8" w:rsidP="006444FB" w14:paraId="32149879" w14:textId="592B8ADA">
      <w:pPr>
        <w:spacing w:before="240" w:after="120"/>
        <w:ind w:left="85"/>
        <w:jc w:val="both"/>
      </w:pPr>
      <w:r>
        <w:t>Angi:</w:t>
      </w:r>
    </w:p>
    <w:p w:rsidR="00E942E8" w:rsidP="00E942E8" w14:paraId="46E6B653" w14:textId="6BCF7D6B">
      <w:pPr>
        <w:numPr>
          <w:ilvl w:val="0"/>
          <w:numId w:val="8"/>
        </w:numPr>
        <w:spacing w:after="120"/>
        <w:jc w:val="both"/>
      </w:pPr>
      <w:r>
        <w:t>Studiested (kryss av)</w:t>
      </w:r>
    </w:p>
    <w:p w:rsidR="00E942E8" w:rsidP="00E942E8" w14:paraId="743B775F" w14:textId="4489E026">
      <w:pPr>
        <w:numPr>
          <w:ilvl w:val="0"/>
          <w:numId w:val="8"/>
        </w:numPr>
        <w:spacing w:after="120"/>
        <w:jc w:val="both"/>
      </w:pPr>
      <w:r>
        <w:t>Lokalitet, for eksempel romnummer i beskrivelsen</w:t>
      </w:r>
      <w:r>
        <w:t>.</w:t>
      </w:r>
    </w:p>
    <w:p w:rsidR="00E942E8" w:rsidP="00E942E8" w14:paraId="4878DB53" w14:textId="7868F11C">
      <w:pPr>
        <w:numPr>
          <w:ilvl w:val="0"/>
          <w:numId w:val="8"/>
        </w:numPr>
        <w:spacing w:after="120"/>
        <w:jc w:val="both"/>
      </w:pPr>
      <w:r>
        <w:t>Hvilket u</w:t>
      </w:r>
      <w:r w:rsidR="007E7A9A">
        <w:t>tstyr</w:t>
      </w:r>
      <w:r>
        <w:t xml:space="preserve"> det gjelder</w:t>
      </w:r>
      <w:r w:rsidR="007E7A9A">
        <w:t>.</w:t>
      </w:r>
    </w:p>
    <w:p w:rsidR="00970FF3" w:rsidP="00E942E8" w14:paraId="0C9B86B3" w14:textId="2450D7EA">
      <w:pPr>
        <w:numPr>
          <w:ilvl w:val="0"/>
          <w:numId w:val="8"/>
        </w:numPr>
        <w:spacing w:after="120"/>
        <w:jc w:val="both"/>
      </w:pPr>
      <w:r>
        <w:t>Eventuelle andre opplysninger.</w:t>
      </w:r>
    </w:p>
    <w:p w:rsidR="00970FF3" w:rsidP="00970FF3" w14:paraId="3231F6C4" w14:textId="7A34428C">
      <w:pPr>
        <w:numPr>
          <w:ilvl w:val="0"/>
          <w:numId w:val="8"/>
        </w:numPr>
        <w:spacing w:after="120"/>
        <w:ind w:left="709" w:hanging="264"/>
        <w:jc w:val="both"/>
      </w:pPr>
      <w:r>
        <w:t xml:space="preserve">Dersom saken er meldt inn av student bør det angis hvem som har meldt inn saken, slik at </w:t>
      </w:r>
      <w:r w:rsidR="007E7A9A">
        <w:t xml:space="preserve">både den ansatte og studenten </w:t>
      </w:r>
      <w:r>
        <w:t>kan få et varsel om at saken er registrert</w:t>
      </w:r>
      <w:r w:rsidR="007E7A9A">
        <w:t>,</w:t>
      </w:r>
      <w:r>
        <w:t xml:space="preserve"> og </w:t>
      </w:r>
      <w:r w:rsidR="007E7A9A">
        <w:t xml:space="preserve">avslutningsvis </w:t>
      </w:r>
      <w:r>
        <w:t>når tiltak er blitt gjennomført.</w:t>
      </w:r>
    </w:p>
    <w:p w:rsidR="00970FF3" w:rsidP="00970FF3" w14:paraId="46BF6F5E" w14:textId="6152E3F0">
      <w:pPr>
        <w:spacing w:before="240" w:after="120"/>
        <w:jc w:val="both"/>
      </w:pPr>
      <w:r>
        <w:t>Saken behandles av studiestedskoordinator ved studiested</w:t>
      </w:r>
      <w:r>
        <w:t xml:space="preserve"> </w:t>
      </w:r>
      <w:r>
        <w:t>angitt</w:t>
      </w:r>
      <w:r>
        <w:t xml:space="preserve"> i driftsmeldingen</w:t>
      </w:r>
      <w:r>
        <w:t>.</w:t>
      </w:r>
    </w:p>
    <w:p w:rsidR="00B86626" w:rsidRPr="009F7EB5" w:rsidP="00AA647B" w14:paraId="1ED6C585" w14:textId="4ECC9EF1">
      <w:pPr>
        <w:pStyle w:val="Heading1"/>
        <w:numPr>
          <w:ilvl w:val="0"/>
          <w:numId w:val="3"/>
        </w:numPr>
        <w:ind w:left="426"/>
        <w:jc w:val="both"/>
      </w:pPr>
      <w:r>
        <w:br w:type="page"/>
      </w:r>
      <w:r w:rsidRPr="009F7EB5">
        <w:t>Referanser</w:t>
      </w:r>
    </w:p>
    <w:p w:rsidR="00A42B73" w:rsidP="003B0D92" w14:paraId="67FECD11" w14:textId="77777777">
      <w:pPr>
        <w:spacing w:before="240" w:after="120"/>
        <w:ind w:left="85"/>
      </w:pPr>
      <w:r w:rsidRPr="00F9677E">
        <w:rPr>
          <w:i/>
          <w:iCs/>
        </w:rPr>
        <w:t>Kryssreferanser</w:t>
      </w:r>
      <w:r>
        <w:t xml:space="preserve"> henviser til dokumenter som finnes i THYFs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1C0FFA" w:rsidP="003B0D92" w14:paraId="02699B6C" w14:textId="6169EBF5">
      <w:pPr>
        <w:spacing w:before="240" w:after="120"/>
        <w:ind w:left="85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9F7EB5" w:rsidRPr="00CF0617" w:rsidP="003B0D92" w14:paraId="259E6A4C" w14:textId="77777777">
      <w:pPr>
        <w:spacing w:after="120"/>
        <w:ind w:left="426"/>
        <w:rPr>
          <w:szCs w:val="18"/>
        </w:rPr>
      </w:pPr>
    </w:p>
    <w:p w:rsidR="001C0FFA" w:rsidRPr="007D26B5" w:rsidP="000E1DDE" w14:paraId="02699B6D" w14:textId="77777777">
      <w:pPr>
        <w:pStyle w:val="Heading2"/>
        <w:numPr>
          <w:ilvl w:val="0"/>
          <w:numId w:val="6"/>
        </w:numPr>
        <w:ind w:left="851" w:hanging="491"/>
      </w:pP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L-1.2.1.6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Rollebeskrivelse for studiestedskoordinator ved Trøndelag høyere yrkesfagskole (THYF)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L-.4.1.3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Kapittel 3. Ledelse og forvaltning</w:t>
              </w:r>
            </w:hyperlink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1"/>
    </w:p>
    <w:p w:rsidR="001C0FFA" w:rsidRPr="00CF0617" w:rsidP="000E1DDE" w14:paraId="02699B72" w14:textId="3BEAEFDC">
      <w:pPr>
        <w:pStyle w:val="Heading2"/>
        <w:numPr>
          <w:ilvl w:val="0"/>
          <w:numId w:val="6"/>
        </w:numPr>
        <w:ind w:left="851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hyperlink w:history="1">
              <w:r>
                <w:rPr>
                  <w:b w:val="0"/>
                  <w:color w:val="0000FF"/>
                  <w:u w:val="single"/>
                </w:rPr>
                <w:t>1.1.5.7.1 NS-ISO 21001:2018 kapittel 7.1 Ressurser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1.1.7.3.1.10 DNV-ST-0029 Section 3.1.10 Incident reporting</w:t>
              </w:r>
            </w:hyperlink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P="00E942E8" w14:paraId="02699B77" w14:textId="1A8FFD36">
      <w:pPr>
        <w:jc w:val="both"/>
        <w:rPr>
          <w:szCs w:val="18"/>
        </w:rPr>
      </w:pPr>
      <w:r>
        <w:rPr>
          <w:szCs w:val="18"/>
        </w:rPr>
        <w:br w:type="page"/>
      </w:r>
    </w:p>
    <w:p w:rsidR="00E942E8" w:rsidRPr="00E942E8" w:rsidP="00E942E8" w14:paraId="3596F560" w14:textId="055F19B5">
      <w:pPr>
        <w:jc w:val="right"/>
        <w:rPr>
          <w:b/>
          <w:bCs/>
          <w:sz w:val="22"/>
          <w:szCs w:val="22"/>
        </w:rPr>
      </w:pPr>
      <w:r w:rsidRPr="00E942E8">
        <w:rPr>
          <w:b/>
          <w:bCs/>
          <w:sz w:val="22"/>
          <w:szCs w:val="22"/>
        </w:rPr>
        <w:t>VEDLEGG</w:t>
      </w:r>
    </w:p>
    <w:p w:rsidR="00E942E8" w:rsidP="00E942E8" w14:paraId="4D5A09D0" w14:textId="77777777">
      <w:pPr>
        <w:jc w:val="both"/>
        <w:rPr>
          <w:szCs w:val="18"/>
        </w:rPr>
      </w:pPr>
    </w:p>
    <w:p w:rsidR="00E942E8" w:rsidP="00E942E8" w14:paraId="6CEC3192" w14:textId="77777777">
      <w:pPr>
        <w:jc w:val="both"/>
        <w:rPr>
          <w:szCs w:val="18"/>
        </w:rPr>
      </w:pPr>
    </w:p>
    <w:p w:rsidR="0073179D" w:rsidP="00E942E8" w14:paraId="155909C8" w14:textId="189BE62E">
      <w:pPr>
        <w:jc w:val="both"/>
        <w:rPr>
          <w:b/>
          <w:bCs/>
          <w:sz w:val="20"/>
        </w:rPr>
      </w:pPr>
      <w:r w:rsidRPr="0073179D">
        <w:rPr>
          <w:b/>
          <w:bCs/>
          <w:sz w:val="20"/>
        </w:rPr>
        <w:t>EKSEMPEL PÅ DRIFTSMELDING MELDT INN AV ANSATT</w:t>
      </w:r>
    </w:p>
    <w:p w:rsidR="0073179D" w:rsidP="00E942E8" w14:paraId="477A9A20" w14:textId="77777777">
      <w:pPr>
        <w:jc w:val="both"/>
        <w:rPr>
          <w:b/>
          <w:bCs/>
          <w:sz w:val="20"/>
        </w:rPr>
      </w:pPr>
    </w:p>
    <w:p w:rsidR="0073179D" w:rsidP="00E942E8" w14:paraId="40256C8E" w14:textId="6D3667D2">
      <w:pPr>
        <w:jc w:val="both"/>
        <w:rPr>
          <w:b/>
          <w:bCs/>
          <w:sz w:val="20"/>
        </w:rPr>
      </w:pPr>
      <w:r>
        <w:pict>
          <v:shape id="_x0000_i1026" type="#_x0000_t75" style="width:453.5pt;height:390.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>
      <w:headerReference w:type="defaul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62CA1412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26.03.2025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Driftsmeldinger - melde inn feil og mangler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S-.3.3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2F3FCB9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4DF5"/>
    <w:multiLevelType w:val="hybridMultilevel"/>
    <w:tmpl w:val="FF7E508E"/>
    <w:lvl w:ilvl="0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241B4"/>
    <w:multiLevelType w:val="hybridMultilevel"/>
    <w:tmpl w:val="C27EFB56"/>
    <w:lvl w:ilvl="0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7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323">
    <w:abstractNumId w:val="2"/>
  </w:num>
  <w:num w:numId="2" w16cid:durableId="1829782046">
    <w:abstractNumId w:val="4"/>
  </w:num>
  <w:num w:numId="3" w16cid:durableId="1572885599">
    <w:abstractNumId w:val="1"/>
  </w:num>
  <w:num w:numId="4" w16cid:durableId="393701951">
    <w:abstractNumId w:val="5"/>
  </w:num>
  <w:num w:numId="5" w16cid:durableId="1510482899">
    <w:abstractNumId w:val="0"/>
  </w:num>
  <w:num w:numId="6" w16cid:durableId="940457103">
    <w:abstractNumId w:val="7"/>
  </w:num>
  <w:num w:numId="7" w16cid:durableId="97989613">
    <w:abstractNumId w:val="6"/>
  </w:num>
  <w:num w:numId="8" w16cid:durableId="712114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11D28"/>
    <w:rsid w:val="001A2ECE"/>
    <w:rsid w:val="001A500E"/>
    <w:rsid w:val="001B2589"/>
    <w:rsid w:val="001C0FFA"/>
    <w:rsid w:val="001E047B"/>
    <w:rsid w:val="002646B1"/>
    <w:rsid w:val="00280477"/>
    <w:rsid w:val="003B0D92"/>
    <w:rsid w:val="003D4093"/>
    <w:rsid w:val="00415440"/>
    <w:rsid w:val="00454B66"/>
    <w:rsid w:val="00473133"/>
    <w:rsid w:val="004A1508"/>
    <w:rsid w:val="004C0648"/>
    <w:rsid w:val="004F400D"/>
    <w:rsid w:val="005037FB"/>
    <w:rsid w:val="00524622"/>
    <w:rsid w:val="00533365"/>
    <w:rsid w:val="00560190"/>
    <w:rsid w:val="00593ADB"/>
    <w:rsid w:val="005D217C"/>
    <w:rsid w:val="005F7187"/>
    <w:rsid w:val="006444FB"/>
    <w:rsid w:val="006458B4"/>
    <w:rsid w:val="00665A4D"/>
    <w:rsid w:val="00671862"/>
    <w:rsid w:val="0073179D"/>
    <w:rsid w:val="0075102E"/>
    <w:rsid w:val="007552A2"/>
    <w:rsid w:val="00781062"/>
    <w:rsid w:val="00784455"/>
    <w:rsid w:val="007D26B5"/>
    <w:rsid w:val="007E7A9A"/>
    <w:rsid w:val="00816FE3"/>
    <w:rsid w:val="0087577E"/>
    <w:rsid w:val="008A09F7"/>
    <w:rsid w:val="00912FEC"/>
    <w:rsid w:val="0095797D"/>
    <w:rsid w:val="00970FF3"/>
    <w:rsid w:val="009F7EB5"/>
    <w:rsid w:val="00A42B73"/>
    <w:rsid w:val="00A768B1"/>
    <w:rsid w:val="00A827C1"/>
    <w:rsid w:val="00A90694"/>
    <w:rsid w:val="00AA647B"/>
    <w:rsid w:val="00B34821"/>
    <w:rsid w:val="00B3769A"/>
    <w:rsid w:val="00B74E4F"/>
    <w:rsid w:val="00B84574"/>
    <w:rsid w:val="00B86626"/>
    <w:rsid w:val="00B926C6"/>
    <w:rsid w:val="00B95694"/>
    <w:rsid w:val="00BF1484"/>
    <w:rsid w:val="00BF75FB"/>
    <w:rsid w:val="00C01562"/>
    <w:rsid w:val="00CC0A69"/>
    <w:rsid w:val="00CC173A"/>
    <w:rsid w:val="00CD5A4D"/>
    <w:rsid w:val="00CF0617"/>
    <w:rsid w:val="00D11A96"/>
    <w:rsid w:val="00D24256"/>
    <w:rsid w:val="00D541A7"/>
    <w:rsid w:val="00D6432B"/>
    <w:rsid w:val="00D72127"/>
    <w:rsid w:val="00E34F49"/>
    <w:rsid w:val="00E942E8"/>
    <w:rsid w:val="00F11839"/>
    <w:rsid w:val="00F26C4C"/>
    <w:rsid w:val="00F65CB0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hyf-ekstern.dkhosting.no/docs/dok/DOK00398.pdf" TargetMode="External" /><Relationship Id="rId6" Type="http://schemas.openxmlformats.org/officeDocument/2006/relationships/hyperlink" Target="https://thyf-ekstern.dkhosting.no/docs/pub/DOK00183.pdf" TargetMode="External" /><Relationship Id="rId7" Type="http://schemas.openxmlformats.org/officeDocument/2006/relationships/image" Target="media/image2.emf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288</TotalTime>
  <Pages>3</Pages>
  <Words>474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Om driftsmeldinger - melde inn feil og mangler</vt:lpstr>
      <vt:lpstr>	</vt:lpstr>
    </vt:vector>
  </TitlesOfParts>
  <Company>Datakvalitet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Driftsmeldinger - melde inn feil og mangler</dc:title>
  <dc:subject>&lt;Ny mal opprettet av JSS&gt;|[RefNr]|</dc:subject>
  <dc:creator>Handbok</dc:creator>
  <cp:lastModifiedBy>Hans Tore Mikkelsen</cp:lastModifiedBy>
  <cp:revision>24</cp:revision>
  <cp:lastPrinted>2024-04-29T13:04:00Z</cp:lastPrinted>
  <dcterms:created xsi:type="dcterms:W3CDTF">2020-01-20T07:07:00Z</dcterms:created>
  <dcterms:modified xsi:type="dcterms:W3CDTF">2025-03-10T19:53:00Z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Driftsmeldinger - melde inn feil og mangler</vt:lpwstr>
  </property>
  <property fmtid="{D5CDD505-2E9C-101B-9397-08002B2CF9AE}" pid="5" name="EK_DokType">
    <vt:lpwstr>Rutine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12.03.2025</vt:lpwstr>
  </property>
  <property fmtid="{D5CDD505-2E9C-101B-9397-08002B2CF9AE}" pid="8" name="EK_GjelderTil">
    <vt:lpwstr>12.03.2026</vt:lpwstr>
  </property>
  <property fmtid="{D5CDD505-2E9C-101B-9397-08002B2CF9AE}" pid="9" name="EK_RefNr">
    <vt:lpwstr>S-.3.3</vt:lpwstr>
  </property>
  <property fmtid="{D5CDD505-2E9C-101B-9397-08002B2CF9AE}" pid="10" name="EK_Signatur">
    <vt:lpwstr>Rune Wiggen</vt:lpwstr>
  </property>
  <property fmtid="{D5CDD505-2E9C-101B-9397-08002B2CF9AE}" pid="11" name="EK_SkrevetAv">
    <vt:lpwstr>Hans Tore Mikkelsen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  <property fmtid="{D5CDD505-2E9C-101B-9397-08002B2CF9AE}" pid="14" name="XD00183">
    <vt:lpwstr>L-.4.1.3</vt:lpwstr>
  </property>
  <property fmtid="{D5CDD505-2E9C-101B-9397-08002B2CF9AE}" pid="15" name="XD00398">
    <vt:lpwstr>L-1.2.1.6</vt:lpwstr>
  </property>
  <property fmtid="{D5CDD505-2E9C-101B-9397-08002B2CF9AE}" pid="16" name="XDF00183">
    <vt:lpwstr>Kapittel 3. Ledelse og forvaltning</vt:lpwstr>
  </property>
  <property fmtid="{D5CDD505-2E9C-101B-9397-08002B2CF9AE}" pid="17" name="XDF00398">
    <vt:lpwstr>Rollebeskrivelse for studiestedskoordinator ved Trøndelag høyere yrkesfagskole (THYF)</vt:lpwstr>
  </property>
  <property fmtid="{D5CDD505-2E9C-101B-9397-08002B2CF9AE}" pid="18" name="XDL00183">
    <vt:lpwstr>L-.4.1.3 Kapittel 3. Ledelse og forvaltning</vt:lpwstr>
  </property>
  <property fmtid="{D5CDD505-2E9C-101B-9397-08002B2CF9AE}" pid="19" name="XDL00398">
    <vt:lpwstr>L-1.2.1.6 Rollebeskrivelse for studiestedskoordinator ved Trøndelag høyere yrkesfagskole (THYF)</vt:lpwstr>
  </property>
  <property fmtid="{D5CDD505-2E9C-101B-9397-08002B2CF9AE}" pid="20" name="XDT00183">
    <vt:lpwstr>Kapittel 3. Ledelse og forvaltning</vt:lpwstr>
  </property>
  <property fmtid="{D5CDD505-2E9C-101B-9397-08002B2CF9AE}" pid="21" name="XDT00398">
    <vt:lpwstr>Rollebeskrivelse for studiestedskoordinator ved Trøndelag høyere yrkesfagskole (THYF)</vt:lpwstr>
  </property>
  <property fmtid="{D5CDD505-2E9C-101B-9397-08002B2CF9AE}" pid="22" name="XR00215">
    <vt:lpwstr>1.1.7.3.1.10</vt:lpwstr>
  </property>
  <property fmtid="{D5CDD505-2E9C-101B-9397-08002B2CF9AE}" pid="23" name="XR00245">
    <vt:lpwstr>1.1.5.7.1</vt:lpwstr>
  </property>
  <property fmtid="{D5CDD505-2E9C-101B-9397-08002B2CF9AE}" pid="24" name="XRF00215">
    <vt:lpwstr>DNV-ST-0029 Section 3.1.10 Incident reporting</vt:lpwstr>
  </property>
  <property fmtid="{D5CDD505-2E9C-101B-9397-08002B2CF9AE}" pid="25" name="XRF00245">
    <vt:lpwstr>NS-ISO 21001:2018 kapittel 7.1 Ressurser</vt:lpwstr>
  </property>
  <property fmtid="{D5CDD505-2E9C-101B-9397-08002B2CF9AE}" pid="26" name="XRL00215">
    <vt:lpwstr>1.1.7.3.1.10 DNV-ST-0029 Section 3.1.10 Incident reporting</vt:lpwstr>
  </property>
  <property fmtid="{D5CDD505-2E9C-101B-9397-08002B2CF9AE}" pid="27" name="XRL00245">
    <vt:lpwstr>1.1.5.7.1 NS-ISO 21001:2018 kapittel 7.1 Ressurser</vt:lpwstr>
  </property>
  <property fmtid="{D5CDD505-2E9C-101B-9397-08002B2CF9AE}" pid="28" name="XRT00215">
    <vt:lpwstr>DNV-ST-0029 Section 3.1.10 Incident reporting</vt:lpwstr>
  </property>
  <property fmtid="{D5CDD505-2E9C-101B-9397-08002B2CF9AE}" pid="29" name="XRT00245">
    <vt:lpwstr>NS-ISO 21001:2018 kapittel 7.1 Ressurser</vt:lpwstr>
  </property>
</Properties>
</file>