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1559"/>
        <w:gridCol w:w="709"/>
        <w:gridCol w:w="2268"/>
      </w:tblGrid>
      <w:tr w14:paraId="02699B59" w14:textId="77777777" w:rsidTr="00560190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964"/>
        </w:trPr>
        <w:tc>
          <w:tcPr>
            <w:tcW w:w="6946" w:type="dxa"/>
            <w:gridSpan w:val="5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0FFA" w:rsidRPr="00CF0617" w:rsidP="00F65CB0" w14:paraId="02699B57" w14:textId="3FF06DE1">
            <w:pPr>
              <w:spacing w:before="120" w:after="120"/>
              <w:rPr>
                <w:rFonts w:ascii="Oswald" w:hAnsi="Oswald"/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36.75pt">
                  <v:imagedata r:id="rId4" o:title="Logo THYF" croptop="5730f"/>
                </v:shape>
              </w:pic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6432B" w:rsidP="00D6432B" w14:paraId="6A5E3522" w14:textId="2F59A1C4">
            <w:pPr>
              <w:spacing w:after="120"/>
              <w:rPr>
                <w:sz w:val="16"/>
              </w:rPr>
            </w:pPr>
            <w:r w:rsidRPr="00560190">
              <w:rPr>
                <w:sz w:val="16"/>
              </w:rPr>
              <w:t>Side</w:t>
            </w:r>
            <w:r w:rsidR="00D11A96">
              <w:rPr>
                <w:sz w:val="16"/>
              </w:rPr>
              <w:t>nr</w:t>
            </w:r>
            <w:r w:rsidR="00D11A96">
              <w:rPr>
                <w:sz w:val="16"/>
              </w:rPr>
              <w:t>.</w:t>
            </w:r>
            <w:r w:rsidRPr="00560190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560190">
              <w:rPr>
                <w:szCs w:val="18"/>
              </w:rPr>
              <w:fldChar w:fldCharType="begin"/>
            </w:r>
            <w:r w:rsidRPr="00560190">
              <w:rPr>
                <w:szCs w:val="18"/>
              </w:rPr>
              <w:instrText xml:space="preserve">PAGE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1</w:t>
            </w:r>
            <w:r w:rsidRPr="00560190">
              <w:rPr>
                <w:szCs w:val="18"/>
              </w:rPr>
              <w:fldChar w:fldCharType="end"/>
            </w:r>
            <w:r w:rsidRPr="00560190">
              <w:rPr>
                <w:szCs w:val="18"/>
              </w:rPr>
              <w:t xml:space="preserve"> av </w:t>
            </w:r>
            <w:r w:rsidRPr="00560190">
              <w:rPr>
                <w:szCs w:val="18"/>
              </w:rPr>
              <w:fldChar w:fldCharType="begin"/>
            </w:r>
            <w:r w:rsidRPr="00560190">
              <w:rPr>
                <w:szCs w:val="18"/>
              </w:rPr>
              <w:instrText>NUMPAGES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2</w:t>
            </w:r>
            <w:r w:rsidRPr="00560190">
              <w:rPr>
                <w:szCs w:val="18"/>
              </w:rPr>
              <w:fldChar w:fldCharType="end"/>
            </w:r>
          </w:p>
          <w:p w:rsidR="00052137" w:rsidRPr="00D6432B" w:rsidP="00D6432B" w14:paraId="02699B58" w14:textId="10410778">
            <w:pPr>
              <w:spacing w:before="120"/>
              <w:rPr>
                <w:sz w:val="20"/>
              </w:rPr>
            </w:pPr>
            <w:r w:rsidRPr="00560190">
              <w:rPr>
                <w:sz w:val="16"/>
              </w:rPr>
              <w:t>Dok.id.:</w:t>
            </w:r>
            <w:r w:rsidRPr="00CF0617">
              <w:rPr>
                <w:sz w:val="16"/>
              </w:rPr>
              <w:t xml:space="preserve"> </w:t>
            </w:r>
            <w:r w:rsidRPr="00560190">
              <w:rPr>
                <w:b/>
                <w:bCs/>
                <w:szCs w:val="18"/>
              </w:rPr>
              <w:fldChar w:fldCharType="begin" w:fldLock="1"/>
            </w:r>
            <w:r w:rsidRPr="00560190">
              <w:rPr>
                <w:b/>
                <w:bCs/>
                <w:szCs w:val="18"/>
              </w:rPr>
              <w:instrText xml:space="preserve"> DOCPROPERTY EK_RefNr </w:instrText>
            </w:r>
            <w:r w:rsidRPr="00560190">
              <w:rPr>
                <w:b/>
                <w:bCs/>
                <w:szCs w:val="18"/>
              </w:rPr>
              <w:fldChar w:fldCharType="separate"/>
            </w:r>
            <w:r w:rsidRPr="00560190">
              <w:rPr>
                <w:b/>
                <w:bCs/>
                <w:szCs w:val="18"/>
              </w:rPr>
              <w:t>H-.2.6</w:t>
            </w:r>
            <w:r w:rsidRPr="00560190">
              <w:rPr>
                <w:b/>
                <w:bCs/>
                <w:szCs w:val="18"/>
              </w:rPr>
              <w:fldChar w:fldCharType="end"/>
            </w:r>
          </w:p>
        </w:tc>
      </w:tr>
      <w:tr w14:paraId="02699B5C" w14:textId="77777777" w:rsidTr="00560190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694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FFA" w:rsidRPr="001A2ECE" w14:paraId="02699B5A" w14:textId="77777777">
            <w:pPr>
              <w:spacing w:before="80" w:after="80"/>
              <w:rPr>
                <w:b/>
              </w:rPr>
            </w:pPr>
            <w:r w:rsidRPr="001A2ECE">
              <w:rPr>
                <w:b/>
                <w:sz w:val="22"/>
                <w:szCs w:val="24"/>
              </w:rPr>
              <w:fldChar w:fldCharType="begin" w:fldLock="1"/>
            </w:r>
            <w:r w:rsidRPr="001A2ECE">
              <w:rPr>
                <w:b/>
                <w:sz w:val="22"/>
                <w:szCs w:val="24"/>
              </w:rPr>
              <w:instrText xml:space="preserve"> DOCPROPERTY EK_DokTittel </w:instrText>
            </w:r>
            <w:r w:rsidRPr="001A2ECE">
              <w:rPr>
                <w:b/>
                <w:sz w:val="22"/>
                <w:szCs w:val="24"/>
              </w:rPr>
              <w:fldChar w:fldCharType="separate"/>
            </w:r>
            <w:r w:rsidRPr="001A2ECE">
              <w:rPr>
                <w:b/>
                <w:sz w:val="22"/>
                <w:szCs w:val="24"/>
              </w:rPr>
              <w:t>Rutine for å ivareta eiendeler som tilhører interesseparter</w:t>
            </w:r>
            <w:r w:rsidRPr="001A2ECE">
              <w:rPr>
                <w:b/>
                <w:sz w:val="22"/>
                <w:szCs w:val="24"/>
              </w:rPr>
              <w:fldChar w:fldCharType="end"/>
            </w:r>
            <w:bookmarkStart w:id="0" w:name="tempHer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A2ECE" w:rsidRPr="004A1508" w14:paraId="02699B5B" w14:textId="5970CC4A">
            <w:pPr>
              <w:spacing w:before="80" w:after="80"/>
              <w:rPr>
                <w:b/>
                <w:bCs/>
              </w:rPr>
            </w:pPr>
            <w:r w:rsidRPr="004A1508">
              <w:rPr>
                <w:b/>
                <w:bCs/>
              </w:rPr>
              <w:fldChar w:fldCharType="begin" w:fldLock="1"/>
            </w:r>
            <w:r w:rsidRPr="004A1508">
              <w:rPr>
                <w:b/>
                <w:bCs/>
              </w:rPr>
              <w:instrText>DOCPROPERTY EK_DokType \*charformat \* MERGEFORMAT</w:instrText>
            </w:r>
            <w:r w:rsidRPr="004A1508">
              <w:rPr>
                <w:b/>
                <w:bCs/>
              </w:rPr>
              <w:fldChar w:fldCharType="separate"/>
            </w:r>
            <w:r w:rsidRPr="004A1508">
              <w:rPr>
                <w:b/>
                <w:bCs/>
                <w:noProof/>
              </w:rPr>
              <w:t>Rutine</w:t>
            </w:r>
            <w:r w:rsidRPr="004A1508">
              <w:rPr>
                <w:b/>
                <w:bCs/>
              </w:rPr>
              <w:fldChar w:fldCharType="end"/>
            </w:r>
          </w:p>
        </w:tc>
      </w:tr>
      <w:tr w14:paraId="02699B67" w14:textId="77777777" w:rsidTr="00D6432B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D6432B" w:rsidRPr="00560190" w:rsidP="00D6432B" w14:paraId="02699B5D" w14:textId="77777777">
            <w:pPr>
              <w:rPr>
                <w:sz w:val="20"/>
              </w:rPr>
            </w:pPr>
            <w:r w:rsidRPr="00560190">
              <w:rPr>
                <w:sz w:val="16"/>
              </w:rPr>
              <w:t>Utgave:</w:t>
            </w:r>
          </w:p>
          <w:p w:rsidR="00D6432B" w:rsidRPr="00560190" w:rsidP="00D6432B" w14:paraId="02699B5E" w14:textId="77777777">
            <w:pPr>
              <w:jc w:val="center"/>
              <w:rPr>
                <w:sz w:val="20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EK_Utgave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1.00</w:t>
            </w:r>
            <w:r w:rsidRPr="00560190">
              <w:rPr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D6432B" w:rsidRPr="00560190" w:rsidP="00D6432B" w14:paraId="02699B5F" w14:textId="77777777">
            <w:pPr>
              <w:rPr>
                <w:sz w:val="20"/>
              </w:rPr>
            </w:pPr>
            <w:r w:rsidRPr="00560190">
              <w:rPr>
                <w:sz w:val="16"/>
              </w:rPr>
              <w:t>Skrevet av:</w:t>
            </w:r>
          </w:p>
          <w:p w:rsidR="00D6432B" w:rsidRPr="00560190" w:rsidP="00D6432B" w14:paraId="02699B60" w14:textId="77777777">
            <w:pPr>
              <w:jc w:val="center"/>
              <w:rPr>
                <w:sz w:val="20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EK_SkrevetAv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Hans Tore Mikkelsen</w:t>
            </w:r>
            <w:r w:rsidRPr="00560190"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D6432B" w:rsidRPr="00560190" w:rsidP="00D6432B" w14:paraId="02699B61" w14:textId="03268A66">
            <w:pPr>
              <w:rPr>
                <w:sz w:val="16"/>
              </w:rPr>
            </w:pPr>
            <w:r w:rsidRPr="00560190">
              <w:rPr>
                <w:sz w:val="16"/>
              </w:rPr>
              <w:t>Gjelder fra</w:t>
            </w:r>
            <w:r>
              <w:rPr>
                <w:sz w:val="16"/>
              </w:rPr>
              <w:t>/til</w:t>
            </w:r>
            <w:r w:rsidRPr="00560190">
              <w:rPr>
                <w:sz w:val="16"/>
              </w:rPr>
              <w:t>:</w:t>
            </w:r>
          </w:p>
          <w:p w:rsidR="00D6432B" w:rsidRPr="00560190" w:rsidP="00D6432B" w14:paraId="02699B62" w14:textId="77777777">
            <w:pPr>
              <w:jc w:val="center"/>
              <w:rPr>
                <w:szCs w:val="18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EK_GjelderFra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25.02.2025</w:t>
            </w:r>
            <w:r w:rsidRPr="00560190">
              <w:rPr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D6432B" w:rsidRPr="00560190" w:rsidP="00D6432B" w14:paraId="29C84A1B" w14:textId="61E0927A">
            <w:pPr>
              <w:rPr>
                <w:szCs w:val="18"/>
              </w:rPr>
            </w:pPr>
            <w:r w:rsidRPr="00560190">
              <w:rPr>
                <w:sz w:val="16"/>
              </w:rPr>
              <w:t>G</w:t>
            </w:r>
            <w:r>
              <w:rPr>
                <w:sz w:val="16"/>
              </w:rPr>
              <w:t>jelder</w:t>
            </w:r>
            <w:r w:rsidRPr="00560190">
              <w:rPr>
                <w:sz w:val="16"/>
              </w:rPr>
              <w:t xml:space="preserve"> til:</w:t>
            </w:r>
            <w:r>
              <w:rPr>
                <w:sz w:val="16"/>
              </w:rPr>
              <w:t xml:space="preserve"> </w:t>
            </w:r>
          </w:p>
          <w:p w:rsidR="00D6432B" w:rsidRPr="00560190" w:rsidP="00D6432B" w14:paraId="02699B64" w14:textId="03CFBA8A">
            <w:pPr>
              <w:jc w:val="center"/>
              <w:rPr>
                <w:szCs w:val="18"/>
              </w:rPr>
            </w:pPr>
            <w:r w:rsidRPr="00560190">
              <w:fldChar w:fldCharType="begin" w:fldLock="1"/>
            </w:r>
            <w:r w:rsidRPr="00560190">
              <w:instrText>DOCPROPERTY EK_GjelderTil \*charformat \* MERGEFORMAT</w:instrText>
            </w:r>
            <w:r w:rsidRPr="00560190">
              <w:fldChar w:fldCharType="separate"/>
            </w:r>
            <w:r w:rsidRPr="00560190">
              <w:rPr>
                <w:noProof/>
              </w:rPr>
              <w:t>25.02.2026</w:t>
            </w:r>
            <w:r w:rsidRPr="00560190"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6432B" w:rsidRPr="00560190" w:rsidP="00D6432B" w14:paraId="277282C8" w14:textId="77777777">
            <w:pPr>
              <w:rPr>
                <w:sz w:val="20"/>
              </w:rPr>
            </w:pPr>
            <w:r w:rsidRPr="00560190">
              <w:rPr>
                <w:sz w:val="16"/>
              </w:rPr>
              <w:t>Godkjent av:</w:t>
            </w:r>
          </w:p>
          <w:p w:rsidR="00D6432B" w:rsidRPr="00560190" w:rsidP="00D6432B" w14:paraId="02699B66" w14:textId="6F0FF2DE">
            <w:pPr>
              <w:jc w:val="center"/>
              <w:rPr>
                <w:szCs w:val="18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EK_Signatur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Rune Wiggen</w:t>
            </w:r>
            <w:r w:rsidRPr="00560190">
              <w:rPr>
                <w:szCs w:val="18"/>
              </w:rPr>
              <w:fldChar w:fldCharType="end"/>
            </w:r>
          </w:p>
        </w:tc>
      </w:tr>
    </w:tbl>
    <w:p w:rsidR="00A90694" w:rsidRPr="00A90694" w:rsidP="00B11DC0" w14:paraId="5A214358" w14:textId="50A929FB">
      <w:pPr>
        <w:pStyle w:val="Heading1"/>
        <w:numPr>
          <w:ilvl w:val="0"/>
          <w:numId w:val="3"/>
        </w:numPr>
        <w:ind w:left="426"/>
        <w:jc w:val="both"/>
      </w:pPr>
      <w:r>
        <w:t xml:space="preserve">Hensikt </w:t>
      </w:r>
      <w:r w:rsidRPr="009F7EB5">
        <w:t>og omfang</w:t>
      </w:r>
      <w:r>
        <w:t xml:space="preserve"> av rutinen</w:t>
      </w:r>
    </w:p>
    <w:p w:rsidR="003B0D92" w:rsidP="00B11DC0" w14:paraId="64E84914" w14:textId="56B62FEC">
      <w:pPr>
        <w:spacing w:before="240"/>
        <w:ind w:left="85"/>
        <w:jc w:val="both"/>
      </w:pPr>
      <w:r>
        <w:t xml:space="preserve">Trøndelag høyere yrkesfagskole </w:t>
      </w:r>
      <w:r w:rsidR="00BC72DB">
        <w:t xml:space="preserve">(THYF) </w:t>
      </w:r>
      <w:r>
        <w:t xml:space="preserve">forplikter seg til å etablere rutine for å ivareta eiendeler </w:t>
      </w:r>
      <w:r w:rsidR="00BC72DB">
        <w:t xml:space="preserve">som tilhører interessepart, </w:t>
      </w:r>
      <w:r>
        <w:t>i henhold til bestemmelser i vedtatt standard for kvalitetssystem.</w:t>
      </w:r>
    </w:p>
    <w:p w:rsidR="00CD7D08" w:rsidP="00B11DC0" w14:paraId="6C4323A3" w14:textId="1732F879">
      <w:pPr>
        <w:spacing w:before="240"/>
        <w:ind w:left="85"/>
        <w:jc w:val="both"/>
      </w:pPr>
      <w:r>
        <w:t xml:space="preserve">Rutinen gjelder for </w:t>
      </w:r>
      <w:r w:rsidR="00BC72DB">
        <w:t>alle situasjoner hvor interesseparts eiendel eller eiendeler benyttes</w:t>
      </w:r>
      <w:r>
        <w:t xml:space="preserve"> av THYF eller av studenter ved THYF. Den</w:t>
      </w:r>
      <w:r w:rsidR="00BC72DB">
        <w:t xml:space="preserve"> omfatter </w:t>
      </w:r>
      <w:r>
        <w:t>hele THYF</w:t>
      </w:r>
      <w:r w:rsidR="00BC72DB">
        <w:t xml:space="preserve"> samt alle ansatte ved THYF</w:t>
      </w:r>
      <w:r>
        <w:t>.</w:t>
      </w:r>
    </w:p>
    <w:p w:rsidR="00B86626" w:rsidRPr="009F7EB5" w:rsidP="00B11DC0" w14:paraId="7CF7A7C6" w14:textId="0CB6B653">
      <w:pPr>
        <w:pStyle w:val="Heading1"/>
        <w:numPr>
          <w:ilvl w:val="0"/>
          <w:numId w:val="3"/>
        </w:numPr>
        <w:ind w:left="426"/>
        <w:jc w:val="both"/>
      </w:pPr>
      <w:r>
        <w:t>Forklaring av ord og uttrykk</w:t>
      </w:r>
    </w:p>
    <w:p w:rsidR="00BC72DB" w:rsidP="00B11DC0" w14:paraId="62A8F459" w14:textId="4192A7F2">
      <w:pPr>
        <w:spacing w:before="240"/>
        <w:jc w:val="both"/>
      </w:pPr>
      <w:r>
        <w:t>Interesseparters eiendeler kan omfatte materiell, komponenter, verktøy og utstyr, brukers lokaler, åndsverk samt personlige og sensitive data, attester, vitnemål og andre relevante dokumenter.</w:t>
      </w:r>
    </w:p>
    <w:p w:rsidR="00CD7D08" w:rsidP="00B11DC0" w14:paraId="0FC8BD86" w14:textId="76ECF186">
      <w:pPr>
        <w:spacing w:before="240"/>
        <w:jc w:val="both"/>
      </w:pPr>
      <w:r>
        <w:t>E</w:t>
      </w:r>
      <w:r w:rsidR="00B11DC0">
        <w:t>t e</w:t>
      </w:r>
      <w:r>
        <w:t xml:space="preserve">ksempel på </w:t>
      </w:r>
      <w:r w:rsidR="00BC72DB">
        <w:t xml:space="preserve">interesseparts eiendel </w:t>
      </w:r>
      <w:r>
        <w:t xml:space="preserve">fasilitet som anvendes for trening av THYF, er </w:t>
      </w:r>
      <w:r w:rsidR="00B11DC0">
        <w:t>sikkerhetssenteret i Rørviks navigasjons-simulator.</w:t>
      </w:r>
    </w:p>
    <w:p w:rsidR="00B86626" w:rsidRPr="009F7EB5" w:rsidP="00B11DC0" w14:paraId="431E085A" w14:textId="7C59F2DE">
      <w:pPr>
        <w:pStyle w:val="Heading1"/>
        <w:numPr>
          <w:ilvl w:val="0"/>
          <w:numId w:val="3"/>
        </w:numPr>
        <w:ind w:left="426"/>
        <w:jc w:val="both"/>
      </w:pPr>
      <w:r w:rsidRPr="009F7EB5">
        <w:t>Ansvar og myndighet</w:t>
      </w:r>
    </w:p>
    <w:p w:rsidR="00B86626" w:rsidP="00B11DC0" w14:paraId="39F370DE" w14:textId="4A1FE07B">
      <w:pPr>
        <w:spacing w:before="240" w:after="120"/>
        <w:ind w:left="85"/>
        <w:jc w:val="both"/>
      </w:pPr>
      <w:r>
        <w:t>Rektor har overordnet ansvar.</w:t>
      </w:r>
    </w:p>
    <w:p w:rsidR="00CD7D08" w:rsidP="00B11DC0" w14:paraId="75823F3A" w14:textId="3DFC36B5">
      <w:pPr>
        <w:spacing w:before="240" w:after="120"/>
        <w:ind w:left="85"/>
        <w:jc w:val="both"/>
      </w:pPr>
      <w:r>
        <w:t>Alle ansatte ved THYF er forpliktet til å følge opp og etterleve rutinen.</w:t>
      </w:r>
    </w:p>
    <w:p w:rsidR="00F9677E" w:rsidRPr="00F9677E" w:rsidP="00B11DC0" w14:paraId="2A668A33" w14:textId="034F222D">
      <w:pPr>
        <w:pStyle w:val="Heading1"/>
        <w:numPr>
          <w:ilvl w:val="0"/>
          <w:numId w:val="3"/>
        </w:numPr>
        <w:ind w:left="426"/>
        <w:jc w:val="both"/>
      </w:pPr>
      <w:r w:rsidRPr="009F7EB5">
        <w:t>Beskrivelse</w:t>
      </w:r>
    </w:p>
    <w:p w:rsidR="00CD7D08" w:rsidP="00B11DC0" w14:paraId="08FA6BEE" w14:textId="00F7C6CB">
      <w:pPr>
        <w:spacing w:before="240" w:after="120"/>
        <w:ind w:left="85"/>
        <w:jc w:val="both"/>
      </w:pPr>
      <w:r>
        <w:t>T</w:t>
      </w:r>
      <w:r w:rsidR="00BC72DB">
        <w:t xml:space="preserve">HYF </w:t>
      </w:r>
      <w:r>
        <w:t xml:space="preserve">skal utvise forsiktighet med </w:t>
      </w:r>
      <w:r w:rsidR="00BC72DB">
        <w:t>interesseparters</w:t>
      </w:r>
      <w:r>
        <w:t xml:space="preserve"> eiend</w:t>
      </w:r>
      <w:r w:rsidR="00BC72DB">
        <w:t xml:space="preserve">eler når de er under THYFs </w:t>
      </w:r>
      <w:r>
        <w:t>kontroll eller blir brukt av THYF.</w:t>
      </w:r>
      <w:r w:rsidR="00BC72DB">
        <w:t xml:space="preserve"> THYF skal identifisere, verifisere, beskytte og ta vare på alle eiendeler som er fremskaffet for bruk. Videre skal THYF innhente samtykke for tilfeller hvor eiendelen er innlemmet i THYFs produkter og tjenester.</w:t>
      </w:r>
    </w:p>
    <w:p w:rsidR="008F7085" w:rsidP="00B11DC0" w14:paraId="69256BD4" w14:textId="50045874">
      <w:pPr>
        <w:spacing w:before="240" w:after="120"/>
        <w:ind w:left="85"/>
        <w:jc w:val="both"/>
      </w:pPr>
      <w:r>
        <w:t>Hvis noen deltakeres, andre kunders eiendom eller eiendeler er borte eller skadet og er uegnet for bruk; skal dette meldes inn som sak i THYFs avvikssystem, og meldes til aktuell interessepart (eier). Videre skal det iverksettes hensiktsmessige korrigerende tiltak. Melding om forholdet til interessepart skal arkiveres i Public 360.</w:t>
      </w:r>
    </w:p>
    <w:p w:rsidR="00B86626" w:rsidRPr="009F7EB5" w:rsidP="00B11DC0" w14:paraId="1ED6C585" w14:textId="1BC82179">
      <w:pPr>
        <w:pStyle w:val="Heading1"/>
        <w:numPr>
          <w:ilvl w:val="0"/>
          <w:numId w:val="3"/>
        </w:numPr>
        <w:ind w:left="426"/>
        <w:jc w:val="both"/>
      </w:pPr>
      <w:r w:rsidRPr="009F7EB5">
        <w:t>Referanser</w:t>
      </w:r>
    </w:p>
    <w:p w:rsidR="00A42B73" w:rsidP="00B11DC0" w14:paraId="67FECD11" w14:textId="77777777">
      <w:pPr>
        <w:spacing w:before="240" w:after="120"/>
        <w:ind w:left="85"/>
        <w:jc w:val="both"/>
      </w:pPr>
      <w:r w:rsidRPr="00F9677E">
        <w:rPr>
          <w:i/>
          <w:iCs/>
        </w:rPr>
        <w:t>Kryssreferanser</w:t>
      </w:r>
      <w:r>
        <w:t xml:space="preserve"> henviser til dokumenter som finnes i THYFs ledelsessystem. </w:t>
      </w:r>
      <w:r w:rsidRPr="00F65CB0">
        <w:rPr>
          <w:i/>
          <w:iCs/>
        </w:rPr>
        <w:t>Eksterne referanser</w:t>
      </w:r>
      <w:r>
        <w:t xml:space="preserve"> henviser til dokumenter som ligger tilgjengelig utenfor ledelsessystemet.</w:t>
      </w:r>
    </w:p>
    <w:p w:rsidR="009F7EB5" w:rsidRPr="008F7085" w:rsidP="008F7085" w14:paraId="259E6A4C" w14:textId="51C2346E">
      <w:pPr>
        <w:spacing w:before="240" w:after="120"/>
        <w:ind w:left="85"/>
        <w:jc w:val="both"/>
      </w:pPr>
      <w:r>
        <w:t>Referanse</w:t>
      </w:r>
      <w:r w:rsidR="00F26C4C">
        <w:t>r</w:t>
      </w:r>
      <w:r>
        <w:t xml:space="preserve"> utgjør viktige systemforbindelser til relaterte dokumenter, skjema, prosessflytdiagram</w:t>
      </w:r>
      <w:r w:rsidR="00F26C4C">
        <w:t>, nettsteder,</w:t>
      </w:r>
      <w:r>
        <w:t xml:space="preserve"> eller annen relevant informasjon</w:t>
      </w:r>
      <w:r w:rsidR="00F26C4C">
        <w:t xml:space="preserve"> som for eksempel lover, forskrifter og standarder</w:t>
      </w:r>
      <w:r>
        <w:t>.</w:t>
      </w:r>
    </w:p>
    <w:p w:rsidR="001C0FFA" w:rsidRPr="007D26B5" w:rsidP="008F7085" w14:paraId="02699B6D" w14:textId="4E88F78C">
      <w:pPr>
        <w:pStyle w:val="Heading2"/>
        <w:numPr>
          <w:ilvl w:val="0"/>
          <w:numId w:val="6"/>
        </w:numPr>
        <w:ind w:left="576" w:hanging="491"/>
      </w:pPr>
      <w:r>
        <w:br w:type="page"/>
      </w:r>
      <w:r w:rsidRPr="007D26B5"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22"/>
        <w:gridCol w:w="696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426"/>
              <w:rPr>
                <w:b w:val="0"/>
                <w:color w:val="0000FF"/>
                <w:u w:val="single"/>
              </w:rPr>
            </w:pPr>
            <w:bookmarkStart w:id="1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L-8.1.3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426"/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Kapittel 3. Ledelse og forvaltning</w:t>
              </w:r>
            </w:hyperlink>
          </w:p>
        </w:tc>
      </w:tr>
    </w:tbl>
    <w:p w:rsidR="00671862" w:rsidP="007D26B5" w14:paraId="3F009015" w14:textId="77777777">
      <w:pPr>
        <w:ind w:left="426"/>
        <w:rPr>
          <w:b/>
          <w:bCs/>
          <w:szCs w:val="18"/>
        </w:rPr>
      </w:pPr>
      <w:bookmarkEnd w:id="1"/>
    </w:p>
    <w:p w:rsidR="001C0FFA" w:rsidRPr="00CF0617" w:rsidP="008F7085" w14:paraId="02699B72" w14:textId="3BEAEFDC">
      <w:pPr>
        <w:pStyle w:val="Heading2"/>
        <w:numPr>
          <w:ilvl w:val="0"/>
          <w:numId w:val="6"/>
        </w:numPr>
        <w:ind w:left="576" w:hanging="491"/>
      </w:pPr>
      <w:r w:rsidRPr="00CF0617"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284"/>
              <w:rPr>
                <w:b w:val="0"/>
                <w:color w:val="0000FF"/>
                <w:u w:val="single"/>
              </w:rPr>
            </w:pPr>
            <w:bookmarkStart w:id="2" w:name="EK_EksRef"/>
            <w:hyperlink r:id="rId6" w:history="1">
              <w:r>
                <w:rPr>
                  <w:b w:val="0"/>
                  <w:color w:val="0000FF"/>
                  <w:u w:val="single"/>
                </w:rPr>
                <w:t>1.1.1.8.5 NS-ISO 21001:2025 kapittel 8.5 Levering av utdanningsprodukter og utdanningstjenester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284"/>
              <w:rPr>
                <w:b w:val="0"/>
                <w:color w:val="0000FF"/>
                <w:u w:val="single"/>
              </w:rPr>
            </w:pPr>
            <w:hyperlink w:history="1">
              <w:r>
                <w:rPr>
                  <w:b w:val="0"/>
                  <w:color w:val="0000FF"/>
                  <w:u w:val="single"/>
                </w:rPr>
                <w:t>1.1.10.3.8 DNV-ST-0029 Section 3.8 Kundenseiendom</w:t>
              </w:r>
            </w:hyperlink>
          </w:p>
        </w:tc>
      </w:tr>
    </w:tbl>
    <w:p w:rsidR="001C0FFA" w:rsidRPr="00CF0617" w:rsidP="007D26B5" w14:paraId="02699B76" w14:textId="77777777">
      <w:pPr>
        <w:ind w:left="284"/>
        <w:rPr>
          <w:szCs w:val="18"/>
        </w:rPr>
      </w:pPr>
      <w:bookmarkEnd w:id="2"/>
    </w:p>
    <w:p w:rsidR="001C0FFA" w:rsidRPr="00CF0617" w14:paraId="02699B77" w14:textId="1DEEDB98">
      <w:pPr>
        <w:rPr>
          <w:szCs w:val="18"/>
        </w:rPr>
      </w:pPr>
    </w:p>
    <w:sectPr>
      <w:headerReference w:type="default" r:id="rId7"/>
      <w:foot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FFA" w14:paraId="02699B83" w14:textId="1E653299">
    <w:pPr>
      <w:pStyle w:val="Footer"/>
    </w:pPr>
    <w:r>
      <w:fldChar w:fldCharType="begin" w:fldLock="1"/>
    </w:r>
    <w:r>
      <w:instrText xml:space="preserve"> DOCPROPERTY EK_EKPrintMerke </w:instrText>
    </w:r>
    <w:r>
      <w:fldChar w:fldCharType="separate"/>
    </w:r>
    <w:r>
      <w:t>Uoffisiell utskrift er kun gyldig på utskriftsdato</w:t>
    </w:r>
    <w:r>
      <w:fldChar w:fldCharType="end"/>
    </w:r>
    <w:r>
      <w:t xml:space="preserve"> - </w:t>
    </w:r>
    <w:r>
      <w:fldChar w:fldCharType="begin"/>
    </w:r>
    <w:r>
      <w:instrText xml:space="preserve"> TIME \@ "dd.MM.yyyy" </w:instrText>
    </w:r>
    <w:r>
      <w:fldChar w:fldCharType="separate"/>
    </w:r>
    <w:r>
      <w:t>28.08.2025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6"/>
      <w:gridCol w:w="1962"/>
    </w:tblGrid>
    <w:tr w14:paraId="02699B7B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1C0FFA" w14:paraId="02699B79" w14:textId="77777777">
          <w:pPr>
            <w:spacing w:before="80" w:after="80"/>
            <w:rPr>
              <w:b/>
              <w:lang w:val="de-DE"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  <w:lang w:val="de-DE"/>
            </w:rPr>
            <w:instrText>DOCPROPERTY EK_doktittel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  <w:lang w:val="de-DE"/>
            </w:rPr>
            <w:t>Rutine for å ivareta eiendeler som tilhører interesseparter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1C0FFA" w14:paraId="02699B7A" w14:textId="77777777">
          <w:pPr>
            <w:spacing w:before="80" w:after="80"/>
          </w:pPr>
          <w:r>
            <w:rPr>
              <w:sz w:val="16"/>
              <w:lang w:val="de-DE"/>
            </w:rPr>
            <w:t>Dok.id.</w:t>
          </w:r>
          <w:r>
            <w:rPr>
              <w:sz w:val="16"/>
            </w:rPr>
            <w:t xml:space="preserve">: </w:t>
          </w:r>
          <w:r>
            <w:rPr>
              <w:sz w:val="20"/>
            </w:rP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rPr>
              <w:sz w:val="20"/>
            </w:rPr>
            <w:fldChar w:fldCharType="separate"/>
          </w:r>
          <w:r>
            <w:rPr>
              <w:color w:val="000080"/>
            </w:rPr>
            <w:t>H-.2.6</w:t>
          </w:r>
          <w:r>
            <w:rPr>
              <w:sz w:val="20"/>
            </w:rPr>
            <w:fldChar w:fldCharType="end"/>
          </w:r>
        </w:p>
      </w:tc>
    </w:tr>
    <w:tr w14:paraId="02699B7E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110" w:type="dxa"/>
          <w:gridSpan w:val="2"/>
          <w:tcBorders>
            <w:left w:val="nil"/>
            <w:bottom w:val="nil"/>
            <w:right w:val="nil"/>
          </w:tcBorders>
        </w:tcPr>
        <w:p w:rsidR="001C0FFA" w14:paraId="02699B7C" w14:textId="77777777">
          <w:pPr>
            <w:spacing w:before="80"/>
            <w:rPr>
              <w:sz w:val="20"/>
            </w:rPr>
          </w:pPr>
        </w:p>
      </w:tc>
      <w:tc>
        <w:tcPr>
          <w:tcW w:w="1962" w:type="dxa"/>
          <w:tcBorders>
            <w:left w:val="nil"/>
            <w:bottom w:val="nil"/>
            <w:right w:val="nil"/>
          </w:tcBorders>
        </w:tcPr>
        <w:p w:rsidR="001C0FFA" w14:paraId="02699B7D" w14:textId="77777777">
          <w:pPr>
            <w:spacing w:before="80"/>
            <w:jc w:val="right"/>
            <w:rPr>
              <w:sz w:val="20"/>
            </w:rPr>
          </w:pPr>
          <w:r>
            <w:rPr>
              <w:sz w:val="20"/>
            </w:rPr>
            <w:t xml:space="preserve">Side </w:t>
          </w:r>
          <w:r>
            <w:rPr>
              <w:sz w:val="20"/>
            </w:rPr>
            <w:t xml:space="preserve">  :</w:t>
          </w:r>
          <w:r>
            <w:rPr>
              <w:sz w:val="20"/>
            </w:rPr>
            <w:t xml:space="preserve">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rFonts w:ascii="Verdana" w:hAnsi="Verdana"/>
              <w:sz w:val="20"/>
              <w:lang w:val="nb-NO" w:eastAsia="nb-NO" w:bidi="ar-SA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1C0FFA" w14:paraId="02699B7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C399C"/>
    <w:multiLevelType w:val="hybridMultilevel"/>
    <w:tmpl w:val="B85656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0119F"/>
    <w:multiLevelType w:val="hybridMultilevel"/>
    <w:tmpl w:val="A2924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76D42"/>
    <w:multiLevelType w:val="hybridMultilevel"/>
    <w:tmpl w:val="73DC3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B1EAD"/>
    <w:multiLevelType w:val="hybridMultilevel"/>
    <w:tmpl w:val="A9D02736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B5827"/>
    <w:multiLevelType w:val="hybridMultilevel"/>
    <w:tmpl w:val="225C9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933C9"/>
    <w:multiLevelType w:val="hybridMultilevel"/>
    <w:tmpl w:val="5464F9EE"/>
    <w:lvl w:ilvl="0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40489323">
    <w:abstractNumId w:val="2"/>
  </w:num>
  <w:num w:numId="2" w16cid:durableId="1829782046">
    <w:abstractNumId w:val="3"/>
  </w:num>
  <w:num w:numId="3" w16cid:durableId="1572885599">
    <w:abstractNumId w:val="1"/>
  </w:num>
  <w:num w:numId="4" w16cid:durableId="393701951">
    <w:abstractNumId w:val="4"/>
  </w:num>
  <w:num w:numId="5" w16cid:durableId="1510482899">
    <w:abstractNumId w:val="0"/>
  </w:num>
  <w:num w:numId="6" w16cid:durableId="940457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FFA"/>
    <w:rsid w:val="00015CE9"/>
    <w:rsid w:val="000400F7"/>
    <w:rsid w:val="00045F0B"/>
    <w:rsid w:val="00052137"/>
    <w:rsid w:val="00064B5B"/>
    <w:rsid w:val="000E1DDE"/>
    <w:rsid w:val="000F3BF2"/>
    <w:rsid w:val="001009AC"/>
    <w:rsid w:val="001A2ECE"/>
    <w:rsid w:val="001A500E"/>
    <w:rsid w:val="001C0FFA"/>
    <w:rsid w:val="001E047B"/>
    <w:rsid w:val="002646B1"/>
    <w:rsid w:val="00280477"/>
    <w:rsid w:val="00291F5B"/>
    <w:rsid w:val="002E3E24"/>
    <w:rsid w:val="003B0D92"/>
    <w:rsid w:val="003D4093"/>
    <w:rsid w:val="00415440"/>
    <w:rsid w:val="004321FC"/>
    <w:rsid w:val="00454B66"/>
    <w:rsid w:val="00473133"/>
    <w:rsid w:val="004A1508"/>
    <w:rsid w:val="004C0648"/>
    <w:rsid w:val="004F400D"/>
    <w:rsid w:val="005037FB"/>
    <w:rsid w:val="00524622"/>
    <w:rsid w:val="00560190"/>
    <w:rsid w:val="00564ABA"/>
    <w:rsid w:val="00593ADB"/>
    <w:rsid w:val="005D217C"/>
    <w:rsid w:val="005F7187"/>
    <w:rsid w:val="006458B4"/>
    <w:rsid w:val="00665A4D"/>
    <w:rsid w:val="00671862"/>
    <w:rsid w:val="0075102E"/>
    <w:rsid w:val="00781062"/>
    <w:rsid w:val="00784455"/>
    <w:rsid w:val="007D26B5"/>
    <w:rsid w:val="00816FE3"/>
    <w:rsid w:val="0087577E"/>
    <w:rsid w:val="008A09F7"/>
    <w:rsid w:val="008F7085"/>
    <w:rsid w:val="00912FEC"/>
    <w:rsid w:val="0095797D"/>
    <w:rsid w:val="009F7EB5"/>
    <w:rsid w:val="00A42B73"/>
    <w:rsid w:val="00A768B1"/>
    <w:rsid w:val="00A827C1"/>
    <w:rsid w:val="00A90694"/>
    <w:rsid w:val="00B11DC0"/>
    <w:rsid w:val="00B34821"/>
    <w:rsid w:val="00B3769A"/>
    <w:rsid w:val="00B74E4F"/>
    <w:rsid w:val="00B84574"/>
    <w:rsid w:val="00B86626"/>
    <w:rsid w:val="00B926C6"/>
    <w:rsid w:val="00B95694"/>
    <w:rsid w:val="00BC72DB"/>
    <w:rsid w:val="00BF75FB"/>
    <w:rsid w:val="00CC0A69"/>
    <w:rsid w:val="00CC173A"/>
    <w:rsid w:val="00CD5A4D"/>
    <w:rsid w:val="00CD7D08"/>
    <w:rsid w:val="00CF0617"/>
    <w:rsid w:val="00D11A96"/>
    <w:rsid w:val="00D24256"/>
    <w:rsid w:val="00D31C5A"/>
    <w:rsid w:val="00D6432B"/>
    <w:rsid w:val="00D72127"/>
    <w:rsid w:val="00E34F49"/>
    <w:rsid w:val="00E9117A"/>
    <w:rsid w:val="00F11839"/>
    <w:rsid w:val="00F26C4C"/>
    <w:rsid w:val="00F65CB0"/>
    <w:rsid w:val="00F9677E"/>
    <w:rsid w:val="00FA5C47"/>
    <w:rsid w:val="00FE3D7D"/>
    <w:rsid w:val="00FF57CE"/>
  </w:rsids>
  <w:docVars>
    <w:docVar w:name="Avdeling" w:val="lab_avdeling"/>
    <w:docVar w:name="Avsnitt" w:val="lab_avsnitt"/>
    <w:docVar w:name="Bedriftsnavn" w:val="DEMO - 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TRONDHEIM FAGSKOLE¤3#EK_GjelderFra¤2#0¤2#[GjelderFra]¤3#EK_Opprettet¤2#0¤2#[Opprettet]¤3#EK_Utgitt¤2#0¤2#[Utgitt]¤3#EK_IBrukDato¤2#0¤2#[Endret]¤3#EK_DokumentID¤2#0¤2#[ID]¤3#EK_DokTittel¤2#0¤2#&lt;Ny mal opprettet av JSS&gt;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ktittel" w:val="&lt;Ny mal opprettet av JSS&gt;"/>
    <w:docVar w:name="ek_endrfields" w:val="EK_DokTittel¤1#EK_Rapport¤1#"/>
    <w:docVar w:name="ek_format" w:val="-2"/>
    <w:docVar w:name="ek_rapport" w:val="[Tilknyttet rapport]"/>
    <w:docVar w:name="EK_TYPE" w:val="MAL"/>
    <w:docVar w:name="Erstatter" w:val="lab_erstatter"/>
    <w:docVar w:name="KHB" w:val="nei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699B57"/>
  <w15:docId w15:val="{9FBB40AC-0603-4F54-B465-40540C7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73133"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rsid w:val="000E1DDE"/>
    <w:pPr>
      <w:spacing w:before="3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D26B5"/>
    <w:pPr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866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hyf-ekstern.dkhosting.no/docs/pub/DOK00183.pdf" TargetMode="External" /><Relationship Id="rId6" Type="http://schemas.openxmlformats.org/officeDocument/2006/relationships/hyperlink" Target="https://standard.no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MI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248</TotalTime>
  <Pages>2</Pages>
  <Words>449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Rutine for å ivareta kundens eiendom</vt:lpstr>
      <vt:lpstr>	</vt:lpstr>
    </vt:vector>
  </TitlesOfParts>
  <Company>Datakvalitet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 for å ivareta eiendeler som tilhører interesseparter</dc:title>
  <dc:subject>&lt;Ny mal opprettet av JSS&gt;|[RefNr]|</dc:subject>
  <dc:creator>Handbok</dc:creator>
  <cp:lastModifiedBy>Hans Tore Mikkelsen</cp:lastModifiedBy>
  <cp:revision>24</cp:revision>
  <cp:lastPrinted>2024-04-29T13:04:00Z</cp:lastPrinted>
  <dcterms:created xsi:type="dcterms:W3CDTF">2020-01-20T07:07:00Z</dcterms:created>
  <dcterms:modified xsi:type="dcterms:W3CDTF">2025-02-07T21:59:00Z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r_doktype">
    <vt:lpwstr>[Dokumenttype]</vt:lpwstr>
  </property>
  <property fmtid="{D5CDD505-2E9C-101B-9397-08002B2CF9AE}" pid="3" name="EK_Bedriftsnavn">
    <vt:lpwstr>TRØNDELAG HØYERE YRKESFAGSKOLE avd. TRONDHEIM</vt:lpwstr>
  </property>
  <property fmtid="{D5CDD505-2E9C-101B-9397-08002B2CF9AE}" pid="4" name="EK_DokTittel">
    <vt:lpwstr>Rutine for å ivareta eiendeler som tilhører interesseparter</vt:lpwstr>
  </property>
  <property fmtid="{D5CDD505-2E9C-101B-9397-08002B2CF9AE}" pid="5" name="EK_DokType">
    <vt:lpwstr>Rutine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25.02.2025</vt:lpwstr>
  </property>
  <property fmtid="{D5CDD505-2E9C-101B-9397-08002B2CF9AE}" pid="8" name="EK_GjelderTil">
    <vt:lpwstr>25.02.2026</vt:lpwstr>
  </property>
  <property fmtid="{D5CDD505-2E9C-101B-9397-08002B2CF9AE}" pid="9" name="EK_RefNr">
    <vt:lpwstr>H-.2.6</vt:lpwstr>
  </property>
  <property fmtid="{D5CDD505-2E9C-101B-9397-08002B2CF9AE}" pid="10" name="EK_Signatur">
    <vt:lpwstr>Rune Wiggen</vt:lpwstr>
  </property>
  <property fmtid="{D5CDD505-2E9C-101B-9397-08002B2CF9AE}" pid="11" name="EK_SkrevetAv">
    <vt:lpwstr>Hans Tore Mikkelsen</vt:lpwstr>
  </property>
  <property fmtid="{D5CDD505-2E9C-101B-9397-08002B2CF9AE}" pid="12" name="EK_Utgave">
    <vt:lpwstr>1.00</vt:lpwstr>
  </property>
  <property fmtid="{D5CDD505-2E9C-101B-9397-08002B2CF9AE}" pid="13" name="EK_Watermark">
    <vt:lpwstr>[Vannmerke]</vt:lpwstr>
  </property>
  <property fmtid="{D5CDD505-2E9C-101B-9397-08002B2CF9AE}" pid="14" name="XD00183">
    <vt:lpwstr>L-8.1.3</vt:lpwstr>
  </property>
  <property fmtid="{D5CDD505-2E9C-101B-9397-08002B2CF9AE}" pid="15" name="XDF00183">
    <vt:lpwstr>Kapittel 3. Ledelse og forvaltning</vt:lpwstr>
  </property>
  <property fmtid="{D5CDD505-2E9C-101B-9397-08002B2CF9AE}" pid="16" name="XDL00183">
    <vt:lpwstr>L-8.1.3 Kapittel 3. Ledelse og forvaltning</vt:lpwstr>
  </property>
  <property fmtid="{D5CDD505-2E9C-101B-9397-08002B2CF9AE}" pid="17" name="XDT00183">
    <vt:lpwstr>Kapittel 3. Ledelse og forvaltning</vt:lpwstr>
  </property>
  <property fmtid="{D5CDD505-2E9C-101B-9397-08002B2CF9AE}" pid="18" name="XR00205">
    <vt:lpwstr>1.1.10.3.8</vt:lpwstr>
  </property>
  <property fmtid="{D5CDD505-2E9C-101B-9397-08002B2CF9AE}" pid="19" name="XR00266">
    <vt:lpwstr>1.1.1.8.5</vt:lpwstr>
  </property>
  <property fmtid="{D5CDD505-2E9C-101B-9397-08002B2CF9AE}" pid="20" name="XRF00205">
    <vt:lpwstr>DNV-ST-0029 Section 3.8 Kundenseiendom</vt:lpwstr>
  </property>
  <property fmtid="{D5CDD505-2E9C-101B-9397-08002B2CF9AE}" pid="21" name="XRF00266">
    <vt:lpwstr>NS-ISO 21001:2025 kapittel 8.5 Levering av utdanningsprodukter og utdanningstjenester</vt:lpwstr>
  </property>
  <property fmtid="{D5CDD505-2E9C-101B-9397-08002B2CF9AE}" pid="22" name="XRL00205">
    <vt:lpwstr>1.1.10.3.8 DNV-ST-0029 Section 3.8 Kundenseiendom</vt:lpwstr>
  </property>
  <property fmtid="{D5CDD505-2E9C-101B-9397-08002B2CF9AE}" pid="23" name="XRL00266">
    <vt:lpwstr>1.1.1.8.5 NS-ISO 21001:2025 kapittel 8.5 Levering av utdanningsprodukter og utdanningstjenester</vt:lpwstr>
  </property>
  <property fmtid="{D5CDD505-2E9C-101B-9397-08002B2CF9AE}" pid="24" name="XRT00205">
    <vt:lpwstr>DNV-ST-0029 Section 3.8 Kundenseiendom</vt:lpwstr>
  </property>
  <property fmtid="{D5CDD505-2E9C-101B-9397-08002B2CF9AE}" pid="25" name="XRT00266">
    <vt:lpwstr>NS-ISO 21001:2025 kapittel 8.5 Levering av utdanningsprodukter og utdanningstjenester</vt:lpwstr>
  </property>
</Properties>
</file>