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
      <w:tblGrid>
        <w:gridCol w:w="993"/>
        <w:gridCol w:w="2268"/>
        <w:gridCol w:w="1417"/>
        <w:gridCol w:w="1559"/>
        <w:gridCol w:w="709"/>
        <w:gridCol w:w="2268"/>
      </w:tblGrid>
      <w:tr w14:paraId="02699B59" w14:textId="77777777" w:rsidTr="00560190">
        <w:tblPrEx>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Ex>
        <w:trPr>
          <w:cantSplit/>
          <w:trHeight w:val="964"/>
        </w:trPr>
        <w:tc>
          <w:tcPr>
            <w:tcW w:w="6946" w:type="dxa"/>
            <w:gridSpan w:val="5"/>
            <w:tcBorders>
              <w:top w:val="single" w:sz="12" w:space="0" w:color="auto"/>
              <w:bottom w:val="single" w:sz="6" w:space="0" w:color="auto"/>
              <w:right w:val="single" w:sz="6" w:space="0" w:color="auto"/>
            </w:tcBorders>
          </w:tcPr>
          <w:p w:rsidR="001C0FFA" w:rsidRPr="00CF0617" w:rsidP="00F65CB0" w14:paraId="02699B57" w14:textId="3FF06DE1">
            <w:pPr>
              <w:spacing w:before="120" w:after="120"/>
              <w:rPr>
                <w:rFonts w:ascii="Oswald" w:hAnsi="Oswald"/>
                <w:b/>
                <w:sz w:val="28"/>
              </w:rPr>
            </w:pPr>
            <w:r>
              <w:rPr>
                <w:b/>
                <w:sz w:val="28"/>
              </w:rPr>
              <w:t xml:space="preserve"> </w:t>
            </w: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36.75pt">
                  <v:imagedata r:id="rId4" o:title="Logo THYF" croptop="5730f"/>
                </v:shape>
              </w:pict>
            </w:r>
          </w:p>
        </w:tc>
        <w:tc>
          <w:tcPr>
            <w:tcW w:w="2268" w:type="dxa"/>
            <w:tcBorders>
              <w:top w:val="single" w:sz="12" w:space="0" w:color="auto"/>
              <w:left w:val="nil"/>
              <w:bottom w:val="single" w:sz="6" w:space="0" w:color="auto"/>
            </w:tcBorders>
          </w:tcPr>
          <w:p w:rsidR="00D6432B" w:rsidP="00D6432B" w14:paraId="6A5E3522" w14:textId="2F59A1C4">
            <w:pPr>
              <w:spacing w:after="120"/>
              <w:rPr>
                <w:sz w:val="16"/>
              </w:rPr>
            </w:pPr>
            <w:r w:rsidRPr="00560190">
              <w:rPr>
                <w:sz w:val="16"/>
              </w:rPr>
              <w:t>Side</w:t>
            </w:r>
            <w:r w:rsidR="00D11A96">
              <w:rPr>
                <w:sz w:val="16"/>
              </w:rPr>
              <w:t>nr.</w:t>
            </w:r>
            <w:r w:rsidRPr="00560190">
              <w:rPr>
                <w:sz w:val="16"/>
              </w:rPr>
              <w:t>:</w:t>
            </w:r>
            <w:r>
              <w:rPr>
                <w:sz w:val="16"/>
              </w:rPr>
              <w:t xml:space="preserve"> </w:t>
            </w:r>
            <w:r w:rsidRPr="00560190">
              <w:rPr>
                <w:szCs w:val="18"/>
              </w:rPr>
              <w:fldChar w:fldCharType="begin"/>
            </w:r>
            <w:r w:rsidRPr="00560190">
              <w:rPr>
                <w:szCs w:val="18"/>
              </w:rPr>
              <w:instrText xml:space="preserve">PAGE </w:instrText>
            </w:r>
            <w:r w:rsidRPr="00560190">
              <w:rPr>
                <w:szCs w:val="18"/>
              </w:rPr>
              <w:fldChar w:fldCharType="separate"/>
            </w:r>
            <w:r w:rsidRPr="00560190">
              <w:rPr>
                <w:szCs w:val="18"/>
              </w:rPr>
              <w:t>1</w:t>
            </w:r>
            <w:r w:rsidRPr="00560190">
              <w:rPr>
                <w:szCs w:val="18"/>
              </w:rPr>
              <w:fldChar w:fldCharType="end"/>
            </w:r>
            <w:r w:rsidRPr="00560190">
              <w:rPr>
                <w:szCs w:val="18"/>
              </w:rPr>
              <w:t xml:space="preserve"> av </w:t>
            </w:r>
            <w:r w:rsidRPr="00560190">
              <w:rPr>
                <w:szCs w:val="18"/>
              </w:rPr>
              <w:fldChar w:fldCharType="begin"/>
            </w:r>
            <w:r w:rsidRPr="00560190">
              <w:rPr>
                <w:szCs w:val="18"/>
              </w:rPr>
              <w:instrText>NUMPAGES</w:instrText>
            </w:r>
            <w:r w:rsidRPr="00560190">
              <w:rPr>
                <w:szCs w:val="18"/>
              </w:rPr>
              <w:fldChar w:fldCharType="separate"/>
            </w:r>
            <w:r w:rsidRPr="00560190">
              <w:rPr>
                <w:szCs w:val="18"/>
              </w:rPr>
              <w:t>5</w:t>
            </w:r>
            <w:r w:rsidRPr="00560190">
              <w:rPr>
                <w:szCs w:val="18"/>
              </w:rPr>
              <w:fldChar w:fldCharType="end"/>
            </w:r>
          </w:p>
          <w:p w:rsidR="00052137" w:rsidRPr="00D6432B" w:rsidP="00D6432B" w14:paraId="02699B58" w14:textId="10410778">
            <w:pPr>
              <w:spacing w:before="120"/>
              <w:rPr>
                <w:sz w:val="20"/>
              </w:rPr>
            </w:pPr>
            <w:r w:rsidRPr="00560190">
              <w:rPr>
                <w:sz w:val="16"/>
              </w:rPr>
              <w:t>Dok.id.:</w:t>
            </w:r>
            <w:r w:rsidRPr="00CF0617">
              <w:rPr>
                <w:sz w:val="16"/>
              </w:rPr>
              <w:t xml:space="preserve"> </w:t>
            </w:r>
            <w:r w:rsidRPr="00560190">
              <w:rPr>
                <w:b/>
                <w:bCs/>
                <w:szCs w:val="18"/>
              </w:rPr>
              <w:fldChar w:fldCharType="begin" w:fldLock="1"/>
            </w:r>
            <w:r w:rsidRPr="00560190">
              <w:rPr>
                <w:b/>
                <w:bCs/>
                <w:szCs w:val="18"/>
              </w:rPr>
              <w:instrText xml:space="preserve"> DOCPROPERTY EK_RefNr </w:instrText>
            </w:r>
            <w:r w:rsidRPr="00560190">
              <w:rPr>
                <w:b/>
                <w:bCs/>
                <w:szCs w:val="18"/>
              </w:rPr>
              <w:fldChar w:fldCharType="separate"/>
            </w:r>
            <w:r w:rsidRPr="00560190">
              <w:rPr>
                <w:b/>
                <w:bCs/>
                <w:szCs w:val="18"/>
              </w:rPr>
              <w:t>L-.7.1</w:t>
            </w:r>
            <w:r w:rsidRPr="00560190">
              <w:rPr>
                <w:b/>
                <w:bCs/>
                <w:szCs w:val="18"/>
              </w:rPr>
              <w:fldChar w:fldCharType="end"/>
            </w:r>
          </w:p>
        </w:tc>
      </w:tr>
      <w:tr w14:paraId="02699B5C" w14:textId="77777777" w:rsidTr="00560190">
        <w:tblPrEx>
          <w:tblW w:w="9214" w:type="dxa"/>
          <w:tblInd w:w="71" w:type="dxa"/>
          <w:tblLayout w:type="fixed"/>
          <w:tblCellMar>
            <w:left w:w="71" w:type="dxa"/>
            <w:right w:w="71" w:type="dxa"/>
          </w:tblCellMar>
          <w:tblLook w:val="0000"/>
        </w:tblPrEx>
        <w:trPr>
          <w:cantSplit/>
        </w:trPr>
        <w:tc>
          <w:tcPr>
            <w:tcW w:w="6946" w:type="dxa"/>
            <w:gridSpan w:val="5"/>
            <w:tcBorders>
              <w:top w:val="single" w:sz="6" w:space="0" w:color="auto"/>
              <w:bottom w:val="single" w:sz="6" w:space="0" w:color="auto"/>
              <w:right w:val="single" w:sz="6" w:space="0" w:color="auto"/>
            </w:tcBorders>
          </w:tcPr>
          <w:p w:rsidR="001C0FFA" w:rsidRPr="001A2ECE" w14:paraId="02699B5A" w14:textId="77777777">
            <w:pPr>
              <w:spacing w:before="80" w:after="80"/>
              <w:rPr>
                <w:b/>
              </w:rPr>
            </w:pPr>
            <w:r w:rsidRPr="001A2ECE">
              <w:rPr>
                <w:b/>
                <w:sz w:val="22"/>
                <w:szCs w:val="24"/>
              </w:rPr>
              <w:fldChar w:fldCharType="begin" w:fldLock="1"/>
            </w:r>
            <w:r w:rsidRPr="001A2ECE">
              <w:rPr>
                <w:b/>
                <w:sz w:val="22"/>
                <w:szCs w:val="24"/>
              </w:rPr>
              <w:instrText xml:space="preserve"> DOCPROPERTY EK_DokTittel </w:instrText>
            </w:r>
            <w:r w:rsidRPr="001A2ECE">
              <w:rPr>
                <w:b/>
                <w:sz w:val="22"/>
                <w:szCs w:val="24"/>
              </w:rPr>
              <w:fldChar w:fldCharType="separate"/>
            </w:r>
            <w:r w:rsidRPr="001A2ECE">
              <w:rPr>
                <w:b/>
                <w:sz w:val="22"/>
                <w:szCs w:val="24"/>
              </w:rPr>
              <w:t>Retningslinje for risikovurdering og risikostyring</w:t>
            </w:r>
            <w:r w:rsidRPr="001A2ECE">
              <w:rPr>
                <w:b/>
                <w:sz w:val="22"/>
                <w:szCs w:val="24"/>
              </w:rPr>
              <w:fldChar w:fldCharType="end"/>
            </w:r>
            <w:bookmarkStart w:id="0" w:name="tempHer"/>
            <w:bookmarkEnd w:id="0"/>
          </w:p>
        </w:tc>
        <w:tc>
          <w:tcPr>
            <w:tcW w:w="2268" w:type="dxa"/>
            <w:tcBorders>
              <w:top w:val="single" w:sz="6" w:space="0" w:color="auto"/>
              <w:left w:val="nil"/>
              <w:bottom w:val="single" w:sz="6" w:space="0" w:color="auto"/>
            </w:tcBorders>
          </w:tcPr>
          <w:p w:rsidR="001A2ECE" w:rsidRPr="004A1508" w14:paraId="02699B5B" w14:textId="5970CC4A">
            <w:pPr>
              <w:spacing w:before="80" w:after="80"/>
              <w:rPr>
                <w:b/>
                <w:bCs/>
              </w:rPr>
            </w:pPr>
            <w:r w:rsidRPr="004A1508">
              <w:rPr>
                <w:b/>
                <w:bCs/>
              </w:rPr>
              <w:fldChar w:fldCharType="begin" w:fldLock="1"/>
            </w:r>
            <w:r w:rsidRPr="004A1508">
              <w:rPr>
                <w:b/>
                <w:bCs/>
              </w:rPr>
              <w:instrText>DOCPROPERTY EK_DokType \*charformat \* MERGEFORMAT</w:instrText>
            </w:r>
            <w:r w:rsidRPr="004A1508">
              <w:rPr>
                <w:b/>
                <w:bCs/>
              </w:rPr>
              <w:fldChar w:fldCharType="separate"/>
            </w:r>
            <w:r w:rsidRPr="004A1508">
              <w:rPr>
                <w:b/>
                <w:bCs/>
                <w:noProof/>
              </w:rPr>
              <w:t>Retningslinje</w:t>
            </w:r>
            <w:r w:rsidRPr="004A1508">
              <w:rPr>
                <w:b/>
                <w:bCs/>
              </w:rPr>
              <w:fldChar w:fldCharType="end"/>
            </w:r>
          </w:p>
        </w:tc>
      </w:tr>
      <w:tr w14:paraId="02699B67" w14:textId="77777777" w:rsidTr="00D6432B">
        <w:tblPrEx>
          <w:tblW w:w="9214" w:type="dxa"/>
          <w:tblInd w:w="71" w:type="dxa"/>
          <w:tblLayout w:type="fixed"/>
          <w:tblCellMar>
            <w:left w:w="56" w:type="dxa"/>
            <w:right w:w="56" w:type="dxa"/>
          </w:tblCellMar>
          <w:tblLook w:val="0000"/>
        </w:tblPrEx>
        <w:trPr>
          <w:cantSplit/>
        </w:trPr>
        <w:tc>
          <w:tcPr>
            <w:tcW w:w="993" w:type="dxa"/>
            <w:tcBorders>
              <w:top w:val="nil"/>
              <w:bottom w:val="single" w:sz="12" w:space="0" w:color="auto"/>
              <w:right w:val="nil"/>
            </w:tcBorders>
          </w:tcPr>
          <w:p w:rsidR="00D6432B" w:rsidRPr="00560190" w:rsidP="00D6432B" w14:paraId="02699B5D" w14:textId="77777777">
            <w:pPr>
              <w:rPr>
                <w:sz w:val="20"/>
              </w:rPr>
            </w:pPr>
            <w:r w:rsidRPr="00560190">
              <w:rPr>
                <w:sz w:val="16"/>
              </w:rPr>
              <w:t>Utgave:</w:t>
            </w:r>
          </w:p>
          <w:p w:rsidR="00D6432B" w:rsidRPr="00560190" w:rsidP="00D6432B" w14:paraId="02699B5E" w14:textId="77777777">
            <w:pPr>
              <w:jc w:val="center"/>
              <w:rPr>
                <w:sz w:val="20"/>
              </w:rPr>
            </w:pPr>
            <w:r w:rsidRPr="00560190">
              <w:rPr>
                <w:szCs w:val="18"/>
              </w:rPr>
              <w:fldChar w:fldCharType="begin" w:fldLock="1"/>
            </w:r>
            <w:r w:rsidRPr="00560190">
              <w:rPr>
                <w:szCs w:val="18"/>
              </w:rPr>
              <w:instrText xml:space="preserve"> DOCPROPERTY EK_Utgave </w:instrText>
            </w:r>
            <w:r w:rsidRPr="00560190">
              <w:rPr>
                <w:szCs w:val="18"/>
              </w:rPr>
              <w:fldChar w:fldCharType="separate"/>
            </w:r>
            <w:r w:rsidRPr="00560190">
              <w:rPr>
                <w:szCs w:val="18"/>
              </w:rPr>
              <w:t>1.04</w:t>
            </w:r>
            <w:r w:rsidRPr="00560190">
              <w:rPr>
                <w:szCs w:val="18"/>
              </w:rPr>
              <w:fldChar w:fldCharType="end"/>
            </w:r>
          </w:p>
        </w:tc>
        <w:tc>
          <w:tcPr>
            <w:tcW w:w="2268" w:type="dxa"/>
            <w:tcBorders>
              <w:top w:val="nil"/>
              <w:left w:val="single" w:sz="6" w:space="0" w:color="auto"/>
              <w:bottom w:val="single" w:sz="12" w:space="0" w:color="auto"/>
              <w:right w:val="nil"/>
            </w:tcBorders>
          </w:tcPr>
          <w:p w:rsidR="00D6432B" w:rsidRPr="00560190" w:rsidP="00D6432B" w14:paraId="02699B5F" w14:textId="77777777">
            <w:pPr>
              <w:rPr>
                <w:sz w:val="20"/>
              </w:rPr>
            </w:pPr>
            <w:r w:rsidRPr="00560190">
              <w:rPr>
                <w:sz w:val="16"/>
              </w:rPr>
              <w:t>Skrevet av:</w:t>
            </w:r>
          </w:p>
          <w:p w:rsidR="00D6432B" w:rsidRPr="00560190" w:rsidP="00D6432B" w14:paraId="02699B60" w14:textId="77777777">
            <w:pPr>
              <w:jc w:val="center"/>
              <w:rPr>
                <w:sz w:val="20"/>
              </w:rPr>
            </w:pPr>
            <w:r w:rsidRPr="00560190">
              <w:rPr>
                <w:szCs w:val="18"/>
              </w:rPr>
              <w:fldChar w:fldCharType="begin" w:fldLock="1"/>
            </w:r>
            <w:r w:rsidRPr="00560190">
              <w:rPr>
                <w:szCs w:val="18"/>
              </w:rPr>
              <w:instrText xml:space="preserve"> DOCPROPERTY EK_SkrevetAv </w:instrText>
            </w:r>
            <w:r w:rsidRPr="00560190">
              <w:rPr>
                <w:szCs w:val="18"/>
              </w:rPr>
              <w:fldChar w:fldCharType="separate"/>
            </w:r>
            <w:r w:rsidRPr="00560190">
              <w:rPr>
                <w:szCs w:val="18"/>
              </w:rPr>
              <w:t>Rune Wiggen</w:t>
            </w:r>
            <w:r w:rsidRPr="00560190">
              <w:rPr>
                <w:szCs w:val="18"/>
              </w:rPr>
              <w:fldChar w:fldCharType="end"/>
            </w:r>
          </w:p>
        </w:tc>
        <w:tc>
          <w:tcPr>
            <w:tcW w:w="1417" w:type="dxa"/>
            <w:tcBorders>
              <w:top w:val="nil"/>
              <w:left w:val="single" w:sz="6" w:space="0" w:color="auto"/>
              <w:bottom w:val="single" w:sz="12" w:space="0" w:color="auto"/>
              <w:right w:val="nil"/>
            </w:tcBorders>
          </w:tcPr>
          <w:p w:rsidR="00D6432B" w:rsidRPr="00560190" w:rsidP="00D6432B" w14:paraId="02699B61" w14:textId="03268A66">
            <w:pPr>
              <w:rPr>
                <w:sz w:val="16"/>
              </w:rPr>
            </w:pPr>
            <w:r w:rsidRPr="00560190">
              <w:rPr>
                <w:sz w:val="16"/>
              </w:rPr>
              <w:t>Gjelder fra</w:t>
            </w:r>
            <w:r>
              <w:rPr>
                <w:sz w:val="16"/>
              </w:rPr>
              <w:t>/til</w:t>
            </w:r>
            <w:r w:rsidRPr="00560190">
              <w:rPr>
                <w:sz w:val="16"/>
              </w:rPr>
              <w:t>:</w:t>
            </w:r>
          </w:p>
          <w:p w:rsidR="00D6432B" w:rsidRPr="00560190" w:rsidP="00D6432B" w14:paraId="02699B62" w14:textId="77777777">
            <w:pPr>
              <w:jc w:val="center"/>
              <w:rPr>
                <w:szCs w:val="18"/>
              </w:rPr>
            </w:pPr>
            <w:r w:rsidRPr="00560190">
              <w:rPr>
                <w:szCs w:val="18"/>
              </w:rPr>
              <w:fldChar w:fldCharType="begin" w:fldLock="1"/>
            </w:r>
            <w:r w:rsidRPr="00560190">
              <w:rPr>
                <w:szCs w:val="18"/>
              </w:rPr>
              <w:instrText xml:space="preserve"> DOCPROPERTY EK_GjelderFra </w:instrText>
            </w:r>
            <w:r w:rsidRPr="00560190">
              <w:rPr>
                <w:szCs w:val="18"/>
              </w:rPr>
              <w:fldChar w:fldCharType="separate"/>
            </w:r>
            <w:r w:rsidRPr="00560190">
              <w:rPr>
                <w:szCs w:val="18"/>
              </w:rPr>
              <w:t>25.02.2025</w:t>
            </w:r>
            <w:r w:rsidRPr="00560190">
              <w:rPr>
                <w:szCs w:val="18"/>
              </w:rPr>
              <w:fldChar w:fldCharType="end"/>
            </w:r>
          </w:p>
        </w:tc>
        <w:tc>
          <w:tcPr>
            <w:tcW w:w="1559" w:type="dxa"/>
            <w:tcBorders>
              <w:top w:val="nil"/>
              <w:left w:val="single" w:sz="6" w:space="0" w:color="auto"/>
              <w:bottom w:val="single" w:sz="12" w:space="0" w:color="auto"/>
              <w:right w:val="nil"/>
            </w:tcBorders>
          </w:tcPr>
          <w:p w:rsidR="00D6432B" w:rsidRPr="00560190" w:rsidP="00D6432B" w14:paraId="29C84A1B" w14:textId="61E0927A">
            <w:pPr>
              <w:rPr>
                <w:szCs w:val="18"/>
              </w:rPr>
            </w:pPr>
            <w:r w:rsidRPr="00560190">
              <w:rPr>
                <w:sz w:val="16"/>
              </w:rPr>
              <w:t>G</w:t>
            </w:r>
            <w:r>
              <w:rPr>
                <w:sz w:val="16"/>
              </w:rPr>
              <w:t>jelder</w:t>
            </w:r>
            <w:r w:rsidRPr="00560190">
              <w:rPr>
                <w:sz w:val="16"/>
              </w:rPr>
              <w:t xml:space="preserve"> til:</w:t>
            </w:r>
            <w:r>
              <w:rPr>
                <w:sz w:val="16"/>
              </w:rPr>
              <w:t xml:space="preserve"> </w:t>
            </w:r>
          </w:p>
          <w:p w:rsidR="00D6432B" w:rsidRPr="00560190" w:rsidP="00D6432B" w14:paraId="02699B64" w14:textId="03CFBA8A">
            <w:pPr>
              <w:jc w:val="center"/>
              <w:rPr>
                <w:szCs w:val="18"/>
              </w:rPr>
            </w:pPr>
            <w:r w:rsidRPr="00560190">
              <w:fldChar w:fldCharType="begin" w:fldLock="1"/>
            </w:r>
            <w:r w:rsidRPr="00560190">
              <w:instrText>DOCPROPERTY EK_GjelderTil \*charformat \* MERGEFORMAT</w:instrText>
            </w:r>
            <w:r w:rsidRPr="00560190">
              <w:fldChar w:fldCharType="separate"/>
            </w:r>
            <w:r w:rsidRPr="00560190">
              <w:rPr>
                <w:noProof/>
              </w:rPr>
              <w:t>25.02.2026</w:t>
            </w:r>
            <w:r w:rsidRPr="00560190">
              <w:fldChar w:fldCharType="end"/>
            </w:r>
          </w:p>
        </w:tc>
        <w:tc>
          <w:tcPr>
            <w:tcW w:w="2977" w:type="dxa"/>
            <w:gridSpan w:val="2"/>
            <w:tcBorders>
              <w:top w:val="nil"/>
              <w:left w:val="single" w:sz="6" w:space="0" w:color="auto"/>
              <w:bottom w:val="single" w:sz="12" w:space="0" w:color="auto"/>
            </w:tcBorders>
          </w:tcPr>
          <w:p w:rsidR="00D6432B" w:rsidRPr="00560190" w:rsidP="00D6432B" w14:paraId="277282C8" w14:textId="77777777">
            <w:pPr>
              <w:rPr>
                <w:sz w:val="20"/>
              </w:rPr>
            </w:pPr>
            <w:r w:rsidRPr="00560190">
              <w:rPr>
                <w:sz w:val="16"/>
              </w:rPr>
              <w:t>Godkjent av:</w:t>
            </w:r>
          </w:p>
          <w:p w:rsidR="00D6432B" w:rsidRPr="00560190" w:rsidP="00D6432B" w14:paraId="02699B66" w14:textId="6F0FF2DE">
            <w:pPr>
              <w:jc w:val="center"/>
              <w:rPr>
                <w:szCs w:val="18"/>
              </w:rPr>
            </w:pPr>
            <w:r w:rsidRPr="00560190">
              <w:rPr>
                <w:szCs w:val="18"/>
              </w:rPr>
              <w:fldChar w:fldCharType="begin" w:fldLock="1"/>
            </w:r>
            <w:r w:rsidRPr="00560190">
              <w:rPr>
                <w:szCs w:val="18"/>
              </w:rPr>
              <w:instrText xml:space="preserve"> DOCPROPERTY EK_Signatur </w:instrText>
            </w:r>
            <w:r w:rsidRPr="00560190">
              <w:rPr>
                <w:szCs w:val="18"/>
              </w:rPr>
              <w:fldChar w:fldCharType="separate"/>
            </w:r>
            <w:r w:rsidRPr="00560190">
              <w:rPr>
                <w:szCs w:val="18"/>
              </w:rPr>
              <w:t>Hans Tore Mikkelsen</w:t>
            </w:r>
            <w:r w:rsidRPr="00560190">
              <w:rPr>
                <w:szCs w:val="18"/>
              </w:rPr>
              <w:fldChar w:fldCharType="end"/>
            </w:r>
          </w:p>
        </w:tc>
      </w:tr>
    </w:tbl>
    <w:p w:rsidR="00A90694" w:rsidP="00994961" w14:paraId="5A214358" w14:textId="6BD37195">
      <w:pPr>
        <w:pStyle w:val="Heading1"/>
        <w:numPr>
          <w:ilvl w:val="0"/>
          <w:numId w:val="3"/>
        </w:numPr>
        <w:spacing w:after="120"/>
        <w:ind w:left="426"/>
      </w:pPr>
      <w:r w:rsidRPr="009F7EB5">
        <w:t xml:space="preserve">Formål </w:t>
      </w:r>
    </w:p>
    <w:p w:rsidR="00AA3FF6" w:rsidRPr="00CA0CDF" w:rsidP="00AA3FF6" w14:paraId="1A92DD00" w14:textId="543E0F07">
      <w:pPr>
        <w:rPr>
          <w:sz w:val="20"/>
          <w:szCs w:val="22"/>
        </w:rPr>
      </w:pPr>
      <w:r w:rsidRPr="00CA0CDF">
        <w:rPr>
          <w:sz w:val="20"/>
          <w:szCs w:val="22"/>
        </w:rPr>
        <w:t>Formål med «Retningslinje for risikostyring og risikovurdering for HMS» er å bidra til å forebygge uønskede hendelser eller mangler ved arbeidsmiljøet ved THYF, som kan ha konsekvenser for studenter, ansatte og/eller gjester.</w:t>
      </w:r>
    </w:p>
    <w:p w:rsidR="00F9677E" w:rsidP="00E44BC6" w14:paraId="2A668A33" w14:textId="265D1224">
      <w:pPr>
        <w:pStyle w:val="Heading1"/>
        <w:numPr>
          <w:ilvl w:val="0"/>
          <w:numId w:val="3"/>
        </w:numPr>
        <w:spacing w:after="120"/>
        <w:ind w:left="426"/>
        <w:jc w:val="both"/>
      </w:pPr>
      <w:bookmarkStart w:id="1" w:name="_Hlk189815970"/>
      <w:r>
        <w:t>Omfang og forankring</w:t>
      </w:r>
    </w:p>
    <w:bookmarkEnd w:id="1"/>
    <w:p w:rsidR="00AA3FF6" w:rsidRPr="00CA0CDF" w:rsidP="00AA3FF6" w14:paraId="72D32AE1" w14:textId="40A932DD">
      <w:pPr>
        <w:rPr>
          <w:sz w:val="20"/>
          <w:szCs w:val="22"/>
        </w:rPr>
      </w:pPr>
      <w:r w:rsidRPr="00CA0CDF">
        <w:rPr>
          <w:sz w:val="20"/>
          <w:szCs w:val="22"/>
        </w:rPr>
        <w:t>HMS-risikostyring og -risikovurdering skal være en integrert del av virksomheten, på alle nivå. THYF skal ha en tilnærming til HMS og arbeidsmiljø basert på risikovurdering.</w:t>
      </w:r>
    </w:p>
    <w:p w:rsidR="00AA3FF6" w:rsidRPr="00CA0CDF" w:rsidP="00AA3FF6" w14:paraId="2A20F585" w14:textId="77777777">
      <w:pPr>
        <w:rPr>
          <w:sz w:val="20"/>
          <w:szCs w:val="22"/>
        </w:rPr>
      </w:pPr>
    </w:p>
    <w:p w:rsidR="00AA3FF6" w:rsidRPr="00CA0CDF" w:rsidP="00AA3FF6" w14:paraId="3E09AC1D" w14:textId="06EB535F">
      <w:pPr>
        <w:rPr>
          <w:sz w:val="20"/>
          <w:szCs w:val="22"/>
        </w:rPr>
      </w:pPr>
      <w:r w:rsidRPr="00CA0CDF">
        <w:rPr>
          <w:sz w:val="20"/>
          <w:szCs w:val="22"/>
        </w:rPr>
        <w:t>Retningslinjen er underordnet HMS-politikken, og gjelder for alle enheter ved THYF. Retningslinjen er forankret i Forskrift om systematisk helse-, miljø- og sikkerhetsarbeid i virksomheter (Internkontrollforskriften) § 5. andre ledd punkt 6.</w:t>
      </w:r>
    </w:p>
    <w:p w:rsidR="00AA3FF6" w:rsidP="00AA3FF6" w14:paraId="0A78457C" w14:textId="77777777"/>
    <w:p w:rsidR="00AA3FF6" w:rsidP="00AA3FF6" w14:paraId="01F20732" w14:textId="0346AD8A">
      <w:pPr>
        <w:pStyle w:val="Heading1"/>
        <w:numPr>
          <w:ilvl w:val="0"/>
          <w:numId w:val="3"/>
        </w:numPr>
        <w:spacing w:after="120"/>
        <w:ind w:left="284" w:hanging="284"/>
      </w:pPr>
      <w:r>
        <w:t xml:space="preserve"> Ansvar og myndighet</w:t>
      </w:r>
    </w:p>
    <w:p w:rsidR="00AA3FF6" w:rsidRPr="00CA0CDF" w:rsidP="00AA3FF6" w14:paraId="3B4C2217" w14:textId="4E530934">
      <w:pPr>
        <w:rPr>
          <w:sz w:val="20"/>
          <w:szCs w:val="22"/>
        </w:rPr>
      </w:pPr>
      <w:r w:rsidRPr="00CA0CDF">
        <w:rPr>
          <w:b/>
          <w:bCs/>
          <w:sz w:val="20"/>
          <w:szCs w:val="22"/>
        </w:rPr>
        <w:t>Rektor og styret</w:t>
      </w:r>
      <w:r w:rsidRPr="00CA0CDF">
        <w:rPr>
          <w:sz w:val="20"/>
          <w:szCs w:val="22"/>
        </w:rPr>
        <w:t xml:space="preserve"> har det overordnede ansvaret i THYF</w:t>
      </w:r>
    </w:p>
    <w:p w:rsidR="00AA3FF6" w:rsidRPr="00CA0CDF" w:rsidP="00AA3FF6" w14:paraId="4DD83E5B" w14:textId="46B454AA">
      <w:pPr>
        <w:rPr>
          <w:sz w:val="20"/>
          <w:szCs w:val="22"/>
        </w:rPr>
      </w:pPr>
      <w:r w:rsidRPr="00CA0CDF">
        <w:rPr>
          <w:b/>
          <w:bCs/>
          <w:sz w:val="20"/>
          <w:szCs w:val="22"/>
        </w:rPr>
        <w:t>Linjeleder</w:t>
      </w:r>
      <w:r w:rsidRPr="00CA0CDF">
        <w:rPr>
          <w:sz w:val="20"/>
          <w:szCs w:val="22"/>
        </w:rPr>
        <w:t xml:space="preserve"> (</w:t>
      </w:r>
      <w:r w:rsidRPr="00CA0CDF">
        <w:rPr>
          <w:i/>
          <w:iCs/>
          <w:sz w:val="20"/>
          <w:szCs w:val="22"/>
        </w:rPr>
        <w:t>SA, ADM, F</w:t>
      </w:r>
      <w:r>
        <w:rPr>
          <w:i/>
          <w:iCs/>
          <w:sz w:val="20"/>
          <w:szCs w:val="22"/>
        </w:rPr>
        <w:t>O</w:t>
      </w:r>
      <w:r w:rsidRPr="00CA0CDF">
        <w:rPr>
          <w:i/>
          <w:iCs/>
          <w:sz w:val="20"/>
          <w:szCs w:val="22"/>
        </w:rPr>
        <w:t>L, UL, KL</w:t>
      </w:r>
      <w:r w:rsidRPr="00CA0CDF">
        <w:rPr>
          <w:sz w:val="20"/>
          <w:szCs w:val="22"/>
        </w:rPr>
        <w:t>)</w:t>
      </w:r>
      <w:r w:rsidRPr="00CA0CDF" w:rsidR="0078248A">
        <w:rPr>
          <w:sz w:val="20"/>
          <w:szCs w:val="22"/>
        </w:rPr>
        <w:t xml:space="preserve"> h</w:t>
      </w:r>
      <w:r w:rsidRPr="00CA0CDF">
        <w:rPr>
          <w:sz w:val="20"/>
          <w:szCs w:val="22"/>
        </w:rPr>
        <w:t xml:space="preserve">ar innenfor sin enhet ansvar for: </w:t>
      </w:r>
    </w:p>
    <w:p w:rsidR="0078248A" w:rsidRPr="00CA0CDF" w:rsidP="00AA3FF6" w14:paraId="3D768ECD" w14:textId="77777777">
      <w:pPr>
        <w:rPr>
          <w:sz w:val="20"/>
          <w:szCs w:val="22"/>
        </w:rPr>
      </w:pPr>
    </w:p>
    <w:p w:rsidR="00AA3FF6" w:rsidRPr="00AA3FF6" w:rsidP="00AA3FF6" w14:paraId="48E97EF4" w14:textId="77777777">
      <w:pPr>
        <w:numPr>
          <w:ilvl w:val="0"/>
          <w:numId w:val="10"/>
        </w:numPr>
        <w:tabs>
          <w:tab w:val="num" w:pos="720"/>
        </w:tabs>
        <w:rPr>
          <w:sz w:val="20"/>
          <w:szCs w:val="22"/>
        </w:rPr>
      </w:pPr>
      <w:r w:rsidRPr="00AA3FF6">
        <w:rPr>
          <w:sz w:val="20"/>
          <w:szCs w:val="22"/>
        </w:rPr>
        <w:t>at retningslinjen følges.</w:t>
      </w:r>
    </w:p>
    <w:p w:rsidR="00AA3FF6" w:rsidRPr="00AA3FF6" w:rsidP="00AA3FF6" w14:paraId="40B8337A" w14:textId="3C258B33">
      <w:pPr>
        <w:numPr>
          <w:ilvl w:val="0"/>
          <w:numId w:val="10"/>
        </w:numPr>
        <w:tabs>
          <w:tab w:val="num" w:pos="720"/>
        </w:tabs>
        <w:rPr>
          <w:sz w:val="20"/>
          <w:szCs w:val="22"/>
        </w:rPr>
      </w:pPr>
      <w:r w:rsidRPr="00AA3FF6">
        <w:rPr>
          <w:sz w:val="20"/>
          <w:szCs w:val="22"/>
        </w:rPr>
        <w:t>den overordnede risikostyringen.</w:t>
      </w:r>
    </w:p>
    <w:p w:rsidR="00AA3FF6" w:rsidRPr="00AA3FF6" w:rsidP="00AA3FF6" w14:paraId="759BAB2E" w14:textId="77777777">
      <w:pPr>
        <w:numPr>
          <w:ilvl w:val="0"/>
          <w:numId w:val="10"/>
        </w:numPr>
        <w:tabs>
          <w:tab w:val="num" w:pos="720"/>
        </w:tabs>
        <w:rPr>
          <w:sz w:val="20"/>
          <w:szCs w:val="22"/>
        </w:rPr>
      </w:pPr>
      <w:r w:rsidRPr="00AA3FF6">
        <w:rPr>
          <w:sz w:val="20"/>
          <w:szCs w:val="22"/>
        </w:rPr>
        <w:t>å være kjent med viktig risikoforhold samt utarbeide akseptkriterier for eventuell restrisiko. På bakgrunn av risikovurderinger skal linjeleder sørge for at det blir utarbeidet handlingsplaner på enhetsnivå og gjennomføres tiltak for å minimere risiko.</w:t>
      </w:r>
    </w:p>
    <w:p w:rsidR="00AA3FF6" w:rsidRPr="00AA3FF6" w:rsidP="00AA3FF6" w14:paraId="7002F812" w14:textId="77777777">
      <w:pPr>
        <w:numPr>
          <w:ilvl w:val="0"/>
          <w:numId w:val="10"/>
        </w:numPr>
        <w:tabs>
          <w:tab w:val="num" w:pos="720"/>
        </w:tabs>
        <w:rPr>
          <w:sz w:val="20"/>
          <w:szCs w:val="22"/>
        </w:rPr>
      </w:pPr>
      <w:r w:rsidRPr="00AA3FF6">
        <w:rPr>
          <w:sz w:val="20"/>
          <w:szCs w:val="22"/>
        </w:rPr>
        <w:t>at risikovurdering gjennomføres i øvrige deler av enheten og at det på bakgrunn av risikovurdering utarbeides handlingsplaner.</w:t>
      </w:r>
    </w:p>
    <w:p w:rsidR="00AA3FF6" w:rsidRPr="00CA0CDF" w:rsidP="00AA3FF6" w14:paraId="3CF3CE30" w14:textId="77777777">
      <w:pPr>
        <w:numPr>
          <w:ilvl w:val="0"/>
          <w:numId w:val="10"/>
        </w:numPr>
        <w:tabs>
          <w:tab w:val="num" w:pos="720"/>
        </w:tabs>
        <w:rPr>
          <w:sz w:val="20"/>
          <w:szCs w:val="22"/>
        </w:rPr>
      </w:pPr>
      <w:r w:rsidRPr="00AA3FF6">
        <w:rPr>
          <w:sz w:val="20"/>
          <w:szCs w:val="22"/>
        </w:rPr>
        <w:t>å sørge for at tiltak følges opp og ved behov evalueres.</w:t>
      </w:r>
    </w:p>
    <w:p w:rsidR="0078248A" w:rsidP="0078248A" w14:paraId="3CE7E9BD" w14:textId="77777777"/>
    <w:p w:rsidR="0078248A" w:rsidRPr="00AA3FF6" w:rsidP="0078248A" w14:paraId="1F54939C" w14:textId="41B74403">
      <w:pPr>
        <w:rPr>
          <w:b/>
          <w:bCs/>
          <w:sz w:val="20"/>
          <w:szCs w:val="22"/>
        </w:rPr>
      </w:pPr>
      <w:r w:rsidRPr="00CA0CDF">
        <w:rPr>
          <w:b/>
          <w:bCs/>
          <w:sz w:val="20"/>
          <w:szCs w:val="22"/>
        </w:rPr>
        <w:t>Ansatte, studenter, gjester og øvrige har ansvar for:</w:t>
      </w:r>
    </w:p>
    <w:p w:rsidR="00AA3FF6" w:rsidRPr="00CA0CDF" w:rsidP="00AA3FF6" w14:paraId="06960709" w14:textId="77777777">
      <w:pPr>
        <w:rPr>
          <w:sz w:val="20"/>
          <w:szCs w:val="22"/>
        </w:rPr>
      </w:pPr>
    </w:p>
    <w:p w:rsidR="0078248A" w:rsidRPr="00CA0CDF" w:rsidP="0078248A" w14:paraId="2CEE7EC0" w14:textId="02C7DB32">
      <w:pPr>
        <w:numPr>
          <w:ilvl w:val="0"/>
          <w:numId w:val="11"/>
        </w:numPr>
        <w:tabs>
          <w:tab w:val="num" w:pos="720"/>
        </w:tabs>
        <w:rPr>
          <w:sz w:val="20"/>
          <w:szCs w:val="22"/>
        </w:rPr>
      </w:pPr>
      <w:r w:rsidRPr="0078248A">
        <w:rPr>
          <w:sz w:val="20"/>
          <w:szCs w:val="22"/>
        </w:rPr>
        <w:t>å gjennomføre en vurdering/risikovurdering av egne arbeidsoppgaver/prosesser/aktiviteter. Hvis resultatet viser at enhetens akseptkriterier for rest</w:t>
      </w:r>
      <w:r w:rsidRPr="00CA0CDF">
        <w:rPr>
          <w:sz w:val="20"/>
          <w:szCs w:val="22"/>
        </w:rPr>
        <w:t>-</w:t>
      </w:r>
      <w:r w:rsidRPr="0078248A">
        <w:rPr>
          <w:sz w:val="20"/>
          <w:szCs w:val="22"/>
        </w:rPr>
        <w:t xml:space="preserve">risiko </w:t>
      </w:r>
      <w:r w:rsidRPr="00CA0CDF" w:rsidR="00850DD0">
        <w:rPr>
          <w:sz w:val="20"/>
          <w:szCs w:val="22"/>
        </w:rPr>
        <w:t>overskrides</w:t>
      </w:r>
      <w:r w:rsidRPr="0078248A">
        <w:rPr>
          <w:sz w:val="20"/>
          <w:szCs w:val="22"/>
        </w:rPr>
        <w:t>, og tiltak for å redusere risikonivået ikke kan gjennomføres, skal linjeleder involveres.</w:t>
      </w:r>
    </w:p>
    <w:p w:rsidR="0078248A" w:rsidRPr="00CA0CDF" w:rsidP="0078248A" w14:paraId="3850C48C" w14:textId="77777777">
      <w:pPr>
        <w:rPr>
          <w:sz w:val="20"/>
          <w:szCs w:val="22"/>
        </w:rPr>
      </w:pPr>
    </w:p>
    <w:p w:rsidR="0078248A" w:rsidRPr="00CA0CDF" w:rsidP="0078248A" w14:paraId="0DCE664F" w14:textId="0214B3F9">
      <w:pPr>
        <w:rPr>
          <w:sz w:val="20"/>
          <w:szCs w:val="22"/>
        </w:rPr>
      </w:pPr>
      <w:r w:rsidRPr="00CA0CDF">
        <w:rPr>
          <w:sz w:val="20"/>
          <w:szCs w:val="22"/>
        </w:rPr>
        <w:t>Risikovurdering kan gjøres på ulikt vis, avhengig av hva som er hensiktsmessig når det gjelder det som skal vurderes. THYF har etablert et digitalt skjema for risikovurdering, basert på «grovanalyse» i EK3.</w:t>
      </w:r>
    </w:p>
    <w:p w:rsidR="0078248A" w:rsidP="0078248A" w14:paraId="5EF0731C" w14:textId="77777777"/>
    <w:p w:rsidR="0078248A" w:rsidRPr="0078248A" w:rsidP="0078248A" w14:paraId="58E53BA7" w14:textId="77777777"/>
    <w:p w:rsidR="00AA3FF6" w:rsidP="00CA0CDF" w14:paraId="17CF83E4" w14:textId="32956B29">
      <w:pPr>
        <w:pStyle w:val="Heading1"/>
      </w:pPr>
      <w:r>
        <w:br w:type="page"/>
      </w:r>
      <w:r w:rsidR="0078248A">
        <w:t>Forklaringer av ord og uttrykk</w:t>
      </w:r>
    </w:p>
    <w:p w:rsidR="00BF4BB1" w:rsidRPr="00BF4BB1" w:rsidP="00BF4BB1" w14:paraId="1841D6BA" w14:textId="77777777"/>
    <w:p w:rsidR="0078248A" w:rsidRPr="00CA0CDF" w:rsidP="0078248A" w14:paraId="53A9AB82" w14:textId="30F01FDF">
      <w:r w:rsidRPr="00CA0CDF">
        <w:rPr>
          <w:b/>
          <w:bCs/>
        </w:rPr>
        <w:t>Akseptabel risiko</w:t>
      </w:r>
      <w:r w:rsidRPr="00CA0CDF">
        <w:t>: en risiko som aksepteres i en gitt sammenheng basert på gjeldende verdier i virksomheten og i samfunnet. Kriterier for akseptabel risiko kan være basert på myndighetskrav, standarder, erfaringer, teoretisk kunnskap og normer.</w:t>
      </w:r>
    </w:p>
    <w:p w:rsidR="0078248A" w:rsidRPr="00CA0CDF" w:rsidP="0078248A" w14:paraId="3CE1DED1" w14:textId="77777777"/>
    <w:p w:rsidR="0078248A" w:rsidRPr="00CA0CDF" w:rsidP="0078248A" w14:paraId="363A3BE1" w14:textId="3D8A92B6">
      <w:r w:rsidRPr="00CA0CDF">
        <w:rPr>
          <w:b/>
          <w:bCs/>
        </w:rPr>
        <w:t>EK3</w:t>
      </w:r>
      <w:r w:rsidRPr="00CA0CDF">
        <w:t>: THYF sitt digitale verktøy for bl.a. HMS-risikovurdering.</w:t>
      </w:r>
    </w:p>
    <w:p w:rsidR="0078248A" w:rsidRPr="00CA0CDF" w:rsidP="0078248A" w14:paraId="7B516989" w14:textId="77777777"/>
    <w:p w:rsidR="0078248A" w:rsidRPr="0078248A" w:rsidP="0078248A" w14:paraId="342D18BD" w14:textId="5197BBBE">
      <w:r w:rsidRPr="0078248A">
        <w:rPr>
          <w:b/>
          <w:bCs/>
        </w:rPr>
        <w:t>Grovanalyse</w:t>
      </w:r>
      <w:r w:rsidRPr="0078248A">
        <w:t xml:space="preserve">: Risikovurderingsmetoden som ligger til grunn for </w:t>
      </w:r>
      <w:r w:rsidRPr="00CA0CDF">
        <w:t>THYF</w:t>
      </w:r>
      <w:r w:rsidRPr="0078248A">
        <w:t xml:space="preserve">s digitale skjema for HMS-risikovurdering i </w:t>
      </w:r>
      <w:r w:rsidRPr="00CA0CDF">
        <w:t>EK3</w:t>
      </w:r>
      <w:r w:rsidRPr="0078248A">
        <w:t xml:space="preserve">. </w:t>
      </w:r>
      <w:r w:rsidRPr="00CA0CDF">
        <w:t>B</w:t>
      </w:r>
      <w:r w:rsidRPr="0078248A">
        <w:t>enyttes</w:t>
      </w:r>
      <w:r w:rsidRPr="00CA0CDF">
        <w:t xml:space="preserve"> ofte </w:t>
      </w:r>
      <w:r w:rsidRPr="0078248A">
        <w:t xml:space="preserve">innen HMS ved </w:t>
      </w:r>
      <w:r w:rsidRPr="00CA0CDF" w:rsidR="00711F4F">
        <w:t>THYF</w:t>
      </w:r>
      <w:r w:rsidRPr="0078248A">
        <w:t>.</w:t>
      </w:r>
    </w:p>
    <w:p w:rsidR="0078248A" w:rsidRPr="00CA0CDF" w:rsidP="0078248A" w14:paraId="6226748C" w14:textId="77777777">
      <w:pPr>
        <w:rPr>
          <w:b/>
          <w:bCs/>
        </w:rPr>
      </w:pPr>
    </w:p>
    <w:p w:rsidR="0078248A" w:rsidRPr="0078248A" w:rsidP="0078248A" w14:paraId="411AD9A3" w14:textId="0D0DB6B2">
      <w:r w:rsidRPr="0078248A">
        <w:rPr>
          <w:b/>
          <w:bCs/>
        </w:rPr>
        <w:t>Handlingsplan</w:t>
      </w:r>
      <w:r w:rsidRPr="0078248A">
        <w:t>: Oversikt over tiltak som skal iverksettes for å redusere risiko, hvem som skal utføre tiltakene og når de skal være gjennomført.</w:t>
      </w:r>
    </w:p>
    <w:p w:rsidR="006729E1" w:rsidP="0078248A" w14:paraId="68ED7546" w14:textId="77777777">
      <w:pPr>
        <w:rPr>
          <w:b/>
          <w:bCs/>
        </w:rPr>
      </w:pPr>
    </w:p>
    <w:p w:rsidR="0078248A" w:rsidRPr="0078248A" w:rsidP="0078248A" w14:paraId="3E1C06ED" w14:textId="318C2829">
      <w:r w:rsidRPr="0078248A">
        <w:rPr>
          <w:b/>
          <w:bCs/>
        </w:rPr>
        <w:t>Kartlegging</w:t>
      </w:r>
      <w:r w:rsidRPr="0078248A">
        <w:t>: En prosess hvor man får oversikt over aktiviteter i virksomheten/i et lokale/i en prosess som skal vurderes nærmere med tanke på risiko for uønskede hendelser.</w:t>
      </w:r>
    </w:p>
    <w:p w:rsidR="0078248A" w:rsidRPr="00CA0CDF" w:rsidP="0078248A" w14:paraId="7ED53922" w14:textId="77777777">
      <w:pPr>
        <w:rPr>
          <w:b/>
          <w:bCs/>
        </w:rPr>
      </w:pPr>
    </w:p>
    <w:p w:rsidR="0078248A" w:rsidRPr="0078248A" w:rsidP="0078248A" w14:paraId="54427B3A" w14:textId="78520D4D">
      <w:r w:rsidRPr="0078248A">
        <w:rPr>
          <w:b/>
          <w:bCs/>
        </w:rPr>
        <w:t>Konsekvens</w:t>
      </w:r>
      <w:r w:rsidRPr="0078248A">
        <w:t>: Mulig følge av en uønsket hendelse.</w:t>
      </w:r>
    </w:p>
    <w:p w:rsidR="0078248A" w:rsidRPr="00CA0CDF" w:rsidP="0078248A" w14:paraId="2498F6CE" w14:textId="77777777">
      <w:pPr>
        <w:rPr>
          <w:b/>
          <w:bCs/>
        </w:rPr>
      </w:pPr>
    </w:p>
    <w:p w:rsidR="0078248A" w:rsidRPr="0078248A" w:rsidP="0078248A" w14:paraId="157E44B4" w14:textId="54FDB86C">
      <w:r w:rsidRPr="0078248A">
        <w:rPr>
          <w:b/>
          <w:bCs/>
        </w:rPr>
        <w:t>Restrisiko</w:t>
      </w:r>
      <w:r w:rsidRPr="0078248A">
        <w:t>: Den risiko som gjenstår når vi ikke kan gjennomføre eller er villig til å prioritere ytterligere risikoreduserende tiltak. En restrisiko vil alltid finnes. Arbeidsprosedyrer beskriver hvordan restrisiko skal håndteres.</w:t>
      </w:r>
    </w:p>
    <w:p w:rsidR="0078248A" w:rsidRPr="00CA0CDF" w:rsidP="0078248A" w14:paraId="27F94016" w14:textId="77777777">
      <w:pPr>
        <w:rPr>
          <w:b/>
          <w:bCs/>
        </w:rPr>
      </w:pPr>
    </w:p>
    <w:p w:rsidR="0078248A" w:rsidRPr="0078248A" w:rsidP="0078248A" w14:paraId="281E5EB2" w14:textId="1B410212">
      <w:r w:rsidRPr="0078248A">
        <w:rPr>
          <w:b/>
          <w:bCs/>
        </w:rPr>
        <w:t>Risiko</w:t>
      </w:r>
      <w:r w:rsidRPr="0078248A">
        <w:t>: Et uttrykk for kombinasjonen (produktet) av sannsynlighet for og konsekvensen av en uønsket hendelse.</w:t>
      </w:r>
    </w:p>
    <w:p w:rsidR="0078248A" w:rsidRPr="00CA0CDF" w:rsidP="0078248A" w14:paraId="79C6AD37" w14:textId="77777777">
      <w:pPr>
        <w:rPr>
          <w:b/>
          <w:bCs/>
        </w:rPr>
      </w:pPr>
    </w:p>
    <w:p w:rsidR="0078248A" w:rsidRPr="0078248A" w:rsidP="0078248A" w14:paraId="30239A12" w14:textId="201C53C7">
      <w:r w:rsidRPr="0078248A">
        <w:rPr>
          <w:b/>
          <w:bCs/>
        </w:rPr>
        <w:t>Risikoanalyse</w:t>
      </w:r>
      <w:r w:rsidRPr="0078248A">
        <w:t>: En systematisk fremgangsmåte for å beskrive og/eller beregne risiko f.eks. ved hjelp av sannsynlighet og konsekvens. Risikoanalyse kan gjennomføres med varierende grad av detaljer og kompleksitet avhengig av formålet med analysen, informasjonens tilgjengelighet og pålitelighet samt tilgjengelige ressurser. Analysemetoder kan være kvalitative, kvantitative eller en kombinasjon av disse, avhengig av omstendigheter og tiltenkt bruk.</w:t>
      </w:r>
    </w:p>
    <w:p w:rsidR="0078248A" w:rsidRPr="00CA0CDF" w:rsidP="0078248A" w14:paraId="76011FE4" w14:textId="77777777">
      <w:pPr>
        <w:rPr>
          <w:b/>
          <w:bCs/>
        </w:rPr>
      </w:pPr>
    </w:p>
    <w:p w:rsidR="0078248A" w:rsidRPr="0078248A" w:rsidP="0078248A" w14:paraId="60DA8259" w14:textId="55F01276">
      <w:r w:rsidRPr="0078248A">
        <w:rPr>
          <w:b/>
          <w:bCs/>
        </w:rPr>
        <w:t>Risikoevaluering</w:t>
      </w:r>
      <w:r w:rsidRPr="0078248A">
        <w:t>: Prosess for å sammenligne beskrevet eller beregnet risiko med gitte kriterier for akseptabel risiko.</w:t>
      </w:r>
    </w:p>
    <w:p w:rsidR="0078248A" w:rsidRPr="00CA0CDF" w:rsidP="0078248A" w14:paraId="15EFAAE6" w14:textId="77777777">
      <w:pPr>
        <w:rPr>
          <w:b/>
          <w:bCs/>
        </w:rPr>
      </w:pPr>
    </w:p>
    <w:p w:rsidR="0078248A" w:rsidRPr="0078248A" w:rsidP="0078248A" w14:paraId="39C77A0E" w14:textId="3410D1A8">
      <w:r w:rsidRPr="0078248A">
        <w:rPr>
          <w:b/>
          <w:bCs/>
        </w:rPr>
        <w:t>Risikostyring</w:t>
      </w:r>
      <w:r w:rsidRPr="0078248A">
        <w:t xml:space="preserve">: Den strategiske prosessen som innebærer å avdekke og styre risiko. Dette inkluderer å iverksette tiltak som bringer risiko i samsvar med risikotoleranse. Når man jobber med </w:t>
      </w:r>
      <w:r w:rsidRPr="00CA0CDF" w:rsidR="00711F4F">
        <w:t>risikostyring,</w:t>
      </w:r>
      <w:r w:rsidRPr="0078248A">
        <w:t xml:space="preserve"> må man balansere ønskene om å skape verdier med ønskene om å unngå skader og tap. Risikostyring er en del av internkontrollen.</w:t>
      </w:r>
    </w:p>
    <w:p w:rsidR="0078248A" w:rsidRPr="00CA0CDF" w:rsidP="0078248A" w14:paraId="79FC4C30" w14:textId="77777777">
      <w:pPr>
        <w:rPr>
          <w:b/>
          <w:bCs/>
        </w:rPr>
      </w:pPr>
    </w:p>
    <w:p w:rsidR="0078248A" w:rsidRPr="0078248A" w:rsidP="0078248A" w14:paraId="34A2503D" w14:textId="267BE491">
      <w:r w:rsidRPr="0078248A">
        <w:rPr>
          <w:b/>
          <w:bCs/>
        </w:rPr>
        <w:t>Risikovurdering</w:t>
      </w:r>
      <w:r w:rsidRPr="0078248A">
        <w:t>: Risikovurdering er den overordnede prosessen med risikoidentifisering (identifisere uønskede hendelser), risikoanalyse (vurdere sannsynlighet og konsekvens) og risikoevaluering (vurdere behov for tiltak).</w:t>
      </w:r>
    </w:p>
    <w:p w:rsidR="00711F4F" w:rsidRPr="00CA0CDF" w:rsidP="0078248A" w14:paraId="559D581E" w14:textId="77777777"/>
    <w:p w:rsidR="0078248A" w:rsidRPr="0078248A" w:rsidP="0078248A" w14:paraId="51ED163E" w14:textId="0447E809">
      <w:r w:rsidRPr="0078248A">
        <w:t>Risikovurdering bør gjennomføres systematisk, gjentakende og gjennom samarbeid, der det dras nytte av interessentenes kunnskap og synspunkter. Under risikovurderingen bør den beste tilgjengelige informasjonen brukes, supplert med ytterligere undersøkelser ved behov.</w:t>
      </w:r>
    </w:p>
    <w:p w:rsidR="0078248A" w:rsidRPr="00CA0CDF" w:rsidP="0078248A" w14:paraId="30AFB5D8" w14:textId="77777777">
      <w:pPr>
        <w:rPr>
          <w:b/>
          <w:bCs/>
        </w:rPr>
      </w:pPr>
    </w:p>
    <w:p w:rsidR="0078248A" w:rsidRPr="0078248A" w:rsidP="0078248A" w14:paraId="0F7B1973" w14:textId="5F03D282">
      <w:r w:rsidRPr="0078248A">
        <w:rPr>
          <w:b/>
          <w:bCs/>
        </w:rPr>
        <w:t>Sannsynlighet</w:t>
      </w:r>
      <w:r w:rsidRPr="0078248A">
        <w:t>: Angir i hvilken grad det er trolig at en hendelse vil kunne inntreffe.</w:t>
      </w:r>
    </w:p>
    <w:p w:rsidR="0078248A" w:rsidRPr="00CA0CDF" w:rsidP="0078248A" w14:paraId="2E74BCFC" w14:textId="77777777">
      <w:pPr>
        <w:rPr>
          <w:b/>
          <w:bCs/>
        </w:rPr>
      </w:pPr>
    </w:p>
    <w:p w:rsidR="0078248A" w:rsidRPr="0078248A" w:rsidP="0078248A" w14:paraId="008C0ADA" w14:textId="04EE08A9">
      <w:r w:rsidRPr="0078248A">
        <w:rPr>
          <w:b/>
          <w:bCs/>
        </w:rPr>
        <w:t>Sikker jobb-analyse</w:t>
      </w:r>
      <w:r w:rsidRPr="00CA0CDF">
        <w:rPr>
          <w:b/>
          <w:bCs/>
        </w:rPr>
        <w:t xml:space="preserve"> (SJA)</w:t>
      </w:r>
      <w:r w:rsidRPr="0078248A">
        <w:t>: En kort, systematisk gjennomgang og vurdering av farer i forkant av en aktivitet der det kan oppstå uønskede hendelser. Hensikten er å vurdere om sikkerheten er godt nok ivaretatt gjennom risikovurderinger som allerede er gjort og gjeldende arbeidsprosedyrer, eller om det er behov for å iverksette ytterligere tiltak som kan fjerne eller kontrollere farene.</w:t>
      </w:r>
    </w:p>
    <w:p w:rsidR="0078248A" w:rsidRPr="00CA0CDF" w:rsidP="0078248A" w14:paraId="2EBD3D8C" w14:textId="77777777">
      <w:pPr>
        <w:rPr>
          <w:b/>
          <w:bCs/>
        </w:rPr>
      </w:pPr>
    </w:p>
    <w:p w:rsidR="0078248A" w:rsidRPr="0078248A" w:rsidP="0078248A" w14:paraId="1788F7E8" w14:textId="3ACEE894">
      <w:r w:rsidRPr="0078248A">
        <w:rPr>
          <w:b/>
          <w:bCs/>
        </w:rPr>
        <w:t>Uønsket hendelse</w:t>
      </w:r>
      <w:r w:rsidRPr="0078248A">
        <w:t>: Hendelse som kan medføre tap av verdier; menneske (liv og helse), materiell, ytre miljø og omdømme.</w:t>
      </w:r>
    </w:p>
    <w:p w:rsidR="0078248A" w:rsidRPr="00CA0CDF" w:rsidP="0078248A" w14:paraId="6798CCEC" w14:textId="77777777">
      <w:pPr>
        <w:rPr>
          <w:b/>
          <w:bCs/>
        </w:rPr>
      </w:pPr>
    </w:p>
    <w:p w:rsidR="0078248A" w:rsidRPr="00CA0CDF" w:rsidP="0078248A" w14:paraId="7C9B4749" w14:textId="2CEEFE26">
      <w:r w:rsidRPr="0078248A">
        <w:rPr>
          <w:b/>
          <w:bCs/>
        </w:rPr>
        <w:t>Årsak</w:t>
      </w:r>
      <w:r w:rsidRPr="0078248A">
        <w:t>: Handling eller forhold som kan føre til en uønsket hendelse.</w:t>
      </w:r>
    </w:p>
    <w:p w:rsidR="00711F4F" w:rsidP="0078248A" w14:paraId="0DCEB6EC" w14:textId="77777777"/>
    <w:p w:rsidR="00711F4F" w:rsidP="00BF4BB1" w14:paraId="6CF73C40" w14:textId="3190A8AB">
      <w:pPr>
        <w:pStyle w:val="Heading1"/>
      </w:pPr>
      <w:r>
        <w:rPr>
          <w:bCs/>
        </w:rPr>
        <w:br w:type="page"/>
      </w:r>
      <w:r w:rsidRPr="00711F4F">
        <w:t>Risikomatrise og akseptkriterier</w:t>
      </w:r>
      <w:r>
        <w:t xml:space="preserve"> i EK3</w:t>
      </w:r>
    </w:p>
    <w:p w:rsidR="00711F4F" w:rsidP="00711F4F" w14:paraId="20B8169B" w14:textId="77777777"/>
    <w:p w:rsidR="00711F4F" w:rsidP="00711F4F" w14:paraId="7F4D46A7" w14:textId="77777777">
      <w:pPr>
        <w:pStyle w:val="NormalWeb"/>
        <w:shd w:val="clear" w:color="auto" w:fill="FFFFFF"/>
        <w:spacing w:before="0" w:beforeAutospacing="0"/>
        <w:rPr>
          <w:rFonts w:ascii="Open Sans" w:hAnsi="Open Sans" w:cs="Open Sans"/>
          <w:color w:val="272833"/>
        </w:rPr>
      </w:pPr>
      <w:r>
        <w:rPr>
          <w:rStyle w:val="Strong"/>
          <w:rFonts w:ascii="Open Sans" w:hAnsi="Open Sans" w:cs="Open Sans"/>
          <w:color w:val="272833"/>
        </w:rPr>
        <w:t>Akseptkriterier</w:t>
      </w:r>
      <w:r>
        <w:rPr>
          <w:rFonts w:ascii="Open Sans" w:hAnsi="Open Sans" w:cs="Open Sans"/>
          <w:color w:val="272833"/>
        </w:rPr>
        <w:t>:</w:t>
      </w:r>
    </w:p>
    <w:p w:rsidR="00711F4F" w:rsidRPr="00CA0CDF" w:rsidP="00711F4F" w14:paraId="529C661C" w14:textId="77777777">
      <w:pPr>
        <w:pStyle w:val="NormalWeb"/>
        <w:shd w:val="clear" w:color="auto" w:fill="FFFFFF"/>
        <w:spacing w:before="0" w:beforeAutospacing="0"/>
        <w:rPr>
          <w:rFonts w:ascii="Verdana" w:hAnsi="Verdana" w:cstheme="minorHAnsi"/>
          <w:color w:val="272833"/>
          <w:sz w:val="20"/>
          <w:szCs w:val="20"/>
        </w:rPr>
      </w:pPr>
      <w:r w:rsidRPr="00CA0CDF">
        <w:rPr>
          <w:rFonts w:ascii="Verdana" w:hAnsi="Verdana" w:cstheme="minorHAnsi"/>
          <w:color w:val="272833"/>
          <w:sz w:val="20"/>
          <w:szCs w:val="20"/>
          <w:shd w:val="clear" w:color="auto" w:fill="FF0000"/>
        </w:rPr>
        <w:t>RØD</w:t>
      </w:r>
      <w:r w:rsidRPr="00CA0CDF">
        <w:rPr>
          <w:rFonts w:ascii="Verdana" w:hAnsi="Verdana" w:cstheme="minorHAnsi"/>
          <w:color w:val="272833"/>
          <w:sz w:val="20"/>
          <w:szCs w:val="20"/>
        </w:rPr>
        <w:t> risiko: Uakseptabel risiko. Tiltak skal gjennomføres for å redusere risikoen.</w:t>
      </w:r>
    </w:p>
    <w:p w:rsidR="00711F4F" w:rsidRPr="00CA0CDF" w:rsidP="00711F4F" w14:paraId="55061A4F" w14:textId="77777777">
      <w:pPr>
        <w:pStyle w:val="NormalWeb"/>
        <w:shd w:val="clear" w:color="auto" w:fill="FFFFFF"/>
        <w:spacing w:before="0" w:beforeAutospacing="0"/>
        <w:rPr>
          <w:rFonts w:ascii="Verdana" w:hAnsi="Verdana" w:cstheme="minorHAnsi"/>
          <w:color w:val="272833"/>
          <w:sz w:val="20"/>
          <w:szCs w:val="20"/>
        </w:rPr>
      </w:pPr>
      <w:r w:rsidRPr="00CA0CDF">
        <w:rPr>
          <w:rFonts w:ascii="Verdana" w:hAnsi="Verdana" w:cstheme="minorHAnsi"/>
          <w:color w:val="272833"/>
          <w:sz w:val="20"/>
          <w:szCs w:val="20"/>
          <w:shd w:val="clear" w:color="auto" w:fill="FFFF00"/>
        </w:rPr>
        <w:t>GUL</w:t>
      </w:r>
      <w:r w:rsidRPr="00CA0CDF">
        <w:rPr>
          <w:rFonts w:ascii="Verdana" w:hAnsi="Verdana" w:cstheme="minorHAnsi"/>
          <w:color w:val="272833"/>
          <w:sz w:val="20"/>
          <w:szCs w:val="20"/>
        </w:rPr>
        <w:t> risiko: Risiko må vurderes. Tiltak skal vurderes.</w:t>
      </w:r>
    </w:p>
    <w:p w:rsidR="00711F4F" w:rsidRPr="00CA0CDF" w:rsidP="00711F4F" w14:paraId="662C363E" w14:textId="77777777">
      <w:pPr>
        <w:pStyle w:val="NormalWeb"/>
        <w:shd w:val="clear" w:color="auto" w:fill="FFFFFF"/>
        <w:spacing w:before="0" w:beforeAutospacing="0"/>
        <w:rPr>
          <w:rFonts w:ascii="Verdana" w:hAnsi="Verdana" w:cstheme="minorHAnsi"/>
          <w:color w:val="272833"/>
          <w:sz w:val="20"/>
          <w:szCs w:val="20"/>
        </w:rPr>
      </w:pPr>
      <w:r w:rsidRPr="00CA0CDF">
        <w:rPr>
          <w:rFonts w:ascii="Verdana" w:hAnsi="Verdana" w:cstheme="minorHAnsi"/>
          <w:color w:val="272833"/>
          <w:sz w:val="20"/>
          <w:szCs w:val="20"/>
          <w:shd w:val="clear" w:color="auto" w:fill="00FF00"/>
        </w:rPr>
        <w:t>GRØNN</w:t>
      </w:r>
      <w:r w:rsidRPr="00CA0CDF">
        <w:rPr>
          <w:rFonts w:ascii="Verdana" w:hAnsi="Verdana" w:cstheme="minorHAnsi"/>
          <w:color w:val="272833"/>
          <w:sz w:val="20"/>
          <w:szCs w:val="20"/>
        </w:rPr>
        <w:t> risiko: Akseptabel risiko. Tiltak kan vurderes.</w:t>
      </w:r>
    </w:p>
    <w:p w:rsidR="00711F4F" w:rsidRPr="00711F4F" w:rsidP="00711F4F" w14:paraId="50248492" w14:textId="77777777"/>
    <w:tbl>
      <w:tblPr>
        <w:tblW w:w="906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6"/>
        <w:gridCol w:w="1601"/>
        <w:gridCol w:w="1480"/>
        <w:gridCol w:w="1563"/>
        <w:gridCol w:w="1496"/>
        <w:gridCol w:w="1421"/>
        <w:gridCol w:w="1060"/>
      </w:tblGrid>
      <w:tr w14:paraId="257ED51B" w14:textId="77777777" w:rsidTr="00B7057B">
        <w:tblPrEx>
          <w:tblW w:w="906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288"/>
          <w:tblHeader/>
          <w:tblCellSpacing w:w="15" w:type="dxa"/>
        </w:trPr>
        <w:tc>
          <w:tcPr>
            <w:tcW w:w="2002" w:type="dxa"/>
            <w:gridSpan w:val="2"/>
            <w:vMerge w:val="restart"/>
          </w:tcPr>
          <w:p w:rsidR="00BF4BB1" w:rsidRPr="00CA0CDF" w:rsidP="00B7057B" w14:paraId="06625EB0" w14:textId="77777777">
            <w:pPr>
              <w:pStyle w:val="NoSpacing"/>
              <w:rPr>
                <w:rFonts w:ascii="Verdana" w:hAnsi="Verdana"/>
                <w:b/>
                <w:bCs/>
                <w:sz w:val="16"/>
                <w:szCs w:val="16"/>
              </w:rPr>
            </w:pPr>
            <w:r w:rsidRPr="00CA0CDF">
              <w:rPr>
                <w:rFonts w:ascii="Verdana" w:hAnsi="Verdana"/>
                <w:b/>
                <w:bCs/>
                <w:sz w:val="16"/>
                <w:szCs w:val="16"/>
              </w:rPr>
              <w:t xml:space="preserve">                                     </w:t>
            </w:r>
          </w:p>
          <w:p w:rsidR="00BF4BB1" w:rsidRPr="00CA0CDF" w:rsidP="00B7057B" w14:paraId="06D74302" w14:textId="77777777">
            <w:pPr>
              <w:pStyle w:val="NoSpacing"/>
              <w:rPr>
                <w:rFonts w:ascii="Verdana" w:hAnsi="Verdana"/>
                <w:b/>
                <w:bCs/>
                <w:sz w:val="16"/>
                <w:szCs w:val="16"/>
              </w:rPr>
            </w:pPr>
          </w:p>
        </w:tc>
        <w:tc>
          <w:tcPr>
            <w:tcW w:w="6975" w:type="dxa"/>
            <w:gridSpan w:val="5"/>
            <w:vAlign w:val="center"/>
          </w:tcPr>
          <w:p w:rsidR="00BF4BB1" w:rsidRPr="00CA0CDF" w:rsidP="00B7057B" w14:paraId="0B3258A1" w14:textId="77777777">
            <w:pPr>
              <w:pStyle w:val="NoSpacing"/>
              <w:jc w:val="center"/>
              <w:rPr>
                <w:rFonts w:ascii="Verdana" w:hAnsi="Verdana"/>
                <w:b/>
                <w:bCs/>
                <w:sz w:val="16"/>
                <w:szCs w:val="16"/>
              </w:rPr>
            </w:pPr>
            <w:r w:rsidRPr="00CA0CDF">
              <w:rPr>
                <w:rFonts w:ascii="Verdana" w:hAnsi="Verdana"/>
                <w:b/>
                <w:bCs/>
                <w:sz w:val="16"/>
                <w:szCs w:val="16"/>
              </w:rPr>
              <w:t>Konsekvens</w:t>
            </w:r>
          </w:p>
        </w:tc>
      </w:tr>
      <w:tr w14:paraId="64D92AB1" w14:textId="77777777" w:rsidTr="00B7057B">
        <w:tblPrEx>
          <w:tblW w:w="9067" w:type="dxa"/>
          <w:tblCellSpacing w:w="15" w:type="dxa"/>
          <w:tblCellMar>
            <w:top w:w="15" w:type="dxa"/>
            <w:left w:w="15" w:type="dxa"/>
            <w:bottom w:w="15" w:type="dxa"/>
            <w:right w:w="15" w:type="dxa"/>
          </w:tblCellMar>
          <w:tblLook w:val="04A0"/>
        </w:tblPrEx>
        <w:trPr>
          <w:trHeight w:val="288"/>
          <w:tblHeader/>
          <w:tblCellSpacing w:w="15" w:type="dxa"/>
        </w:trPr>
        <w:tc>
          <w:tcPr>
            <w:tcW w:w="2002" w:type="dxa"/>
            <w:gridSpan w:val="2"/>
            <w:vMerge/>
            <w:textDirection w:val="btLr"/>
          </w:tcPr>
          <w:p w:rsidR="00BF4BB1" w:rsidRPr="00CA0CDF" w:rsidP="00B7057B" w14:paraId="0DC244A1" w14:textId="77777777">
            <w:pPr>
              <w:pStyle w:val="NoSpacing"/>
              <w:rPr>
                <w:rFonts w:ascii="Verdana" w:hAnsi="Verdana"/>
                <w:b/>
                <w:bCs/>
                <w:sz w:val="16"/>
                <w:szCs w:val="16"/>
              </w:rPr>
            </w:pPr>
          </w:p>
        </w:tc>
        <w:tc>
          <w:tcPr>
            <w:tcW w:w="1450" w:type="dxa"/>
            <w:vAlign w:val="center"/>
            <w:hideMark/>
          </w:tcPr>
          <w:p w:rsidR="00BF4BB1" w:rsidRPr="00CA0CDF" w:rsidP="00B7057B" w14:paraId="70CF8377" w14:textId="77777777">
            <w:pPr>
              <w:pStyle w:val="NoSpacing"/>
              <w:rPr>
                <w:rFonts w:ascii="Verdana" w:hAnsi="Verdana"/>
                <w:b/>
                <w:bCs/>
                <w:sz w:val="16"/>
                <w:szCs w:val="16"/>
              </w:rPr>
            </w:pPr>
            <w:r w:rsidRPr="00CA0CDF">
              <w:rPr>
                <w:rFonts w:ascii="Verdana" w:hAnsi="Verdana"/>
                <w:b/>
                <w:bCs/>
                <w:sz w:val="16"/>
                <w:szCs w:val="16"/>
              </w:rPr>
              <w:t>1 – Svært liten</w:t>
            </w:r>
          </w:p>
        </w:tc>
        <w:tc>
          <w:tcPr>
            <w:tcW w:w="1533" w:type="dxa"/>
            <w:vAlign w:val="center"/>
            <w:hideMark/>
          </w:tcPr>
          <w:p w:rsidR="00BF4BB1" w:rsidRPr="00CA0CDF" w:rsidP="00B7057B" w14:paraId="63F36829" w14:textId="77777777">
            <w:pPr>
              <w:pStyle w:val="NoSpacing"/>
              <w:rPr>
                <w:rFonts w:ascii="Verdana" w:hAnsi="Verdana"/>
                <w:b/>
                <w:bCs/>
                <w:sz w:val="16"/>
                <w:szCs w:val="16"/>
              </w:rPr>
            </w:pPr>
            <w:r w:rsidRPr="00CA0CDF">
              <w:rPr>
                <w:rFonts w:ascii="Verdana" w:hAnsi="Verdana"/>
                <w:b/>
                <w:bCs/>
                <w:sz w:val="16"/>
                <w:szCs w:val="16"/>
              </w:rPr>
              <w:t>2 - Liten</w:t>
            </w:r>
          </w:p>
        </w:tc>
        <w:tc>
          <w:tcPr>
            <w:tcW w:w="1466" w:type="dxa"/>
            <w:vAlign w:val="center"/>
            <w:hideMark/>
          </w:tcPr>
          <w:p w:rsidR="00BF4BB1" w:rsidRPr="00CA0CDF" w:rsidP="00B7057B" w14:paraId="0BEFD785" w14:textId="77777777">
            <w:pPr>
              <w:pStyle w:val="NoSpacing"/>
              <w:rPr>
                <w:rFonts w:ascii="Verdana" w:hAnsi="Verdana"/>
                <w:b/>
                <w:bCs/>
                <w:sz w:val="16"/>
                <w:szCs w:val="16"/>
              </w:rPr>
            </w:pPr>
            <w:r w:rsidRPr="00CA0CDF">
              <w:rPr>
                <w:rFonts w:ascii="Verdana" w:hAnsi="Verdana"/>
                <w:b/>
                <w:bCs/>
                <w:sz w:val="16"/>
                <w:szCs w:val="16"/>
              </w:rPr>
              <w:t>3 - Moderat</w:t>
            </w:r>
          </w:p>
        </w:tc>
        <w:tc>
          <w:tcPr>
            <w:tcW w:w="1391" w:type="dxa"/>
            <w:vAlign w:val="center"/>
            <w:hideMark/>
          </w:tcPr>
          <w:p w:rsidR="00BF4BB1" w:rsidRPr="00CA0CDF" w:rsidP="00B7057B" w14:paraId="0B2BCF01" w14:textId="77777777">
            <w:pPr>
              <w:pStyle w:val="NoSpacing"/>
              <w:rPr>
                <w:rFonts w:ascii="Verdana" w:hAnsi="Verdana"/>
                <w:b/>
                <w:bCs/>
                <w:sz w:val="16"/>
                <w:szCs w:val="16"/>
              </w:rPr>
            </w:pPr>
            <w:r w:rsidRPr="00CA0CDF">
              <w:rPr>
                <w:rFonts w:ascii="Verdana" w:hAnsi="Verdana"/>
                <w:b/>
                <w:bCs/>
                <w:sz w:val="16"/>
                <w:szCs w:val="16"/>
              </w:rPr>
              <w:t>4 - Alvorlig</w:t>
            </w:r>
          </w:p>
        </w:tc>
        <w:tc>
          <w:tcPr>
            <w:tcW w:w="1015" w:type="dxa"/>
          </w:tcPr>
          <w:p w:rsidR="00BF4BB1" w:rsidRPr="00CA0CDF" w:rsidP="00B7057B" w14:paraId="2AB109FE" w14:textId="77777777">
            <w:pPr>
              <w:pStyle w:val="NoSpacing"/>
              <w:rPr>
                <w:rFonts w:ascii="Verdana" w:hAnsi="Verdana"/>
                <w:b/>
                <w:bCs/>
                <w:sz w:val="16"/>
                <w:szCs w:val="16"/>
              </w:rPr>
            </w:pPr>
            <w:r w:rsidRPr="00CA0CDF">
              <w:rPr>
                <w:rFonts w:ascii="Verdana" w:hAnsi="Verdana"/>
                <w:b/>
                <w:bCs/>
                <w:sz w:val="16"/>
                <w:szCs w:val="16"/>
              </w:rPr>
              <w:t>5 – Svært alvorlig</w:t>
            </w:r>
          </w:p>
        </w:tc>
      </w:tr>
      <w:tr w14:paraId="6020D74B" w14:textId="77777777" w:rsidTr="00B7057B">
        <w:tblPrEx>
          <w:tblW w:w="9067" w:type="dxa"/>
          <w:tblCellSpacing w:w="15" w:type="dxa"/>
          <w:tblCellMar>
            <w:top w:w="15" w:type="dxa"/>
            <w:left w:w="15" w:type="dxa"/>
            <w:bottom w:w="15" w:type="dxa"/>
            <w:right w:w="15" w:type="dxa"/>
          </w:tblCellMar>
          <w:tblLook w:val="04A0"/>
        </w:tblPrEx>
        <w:trPr>
          <w:trHeight w:val="761"/>
          <w:tblCellSpacing w:w="15" w:type="dxa"/>
        </w:trPr>
        <w:tc>
          <w:tcPr>
            <w:tcW w:w="401" w:type="dxa"/>
            <w:vMerge w:val="restart"/>
            <w:textDirection w:val="btLr"/>
          </w:tcPr>
          <w:p w:rsidR="00BF4BB1" w:rsidRPr="00CA0CDF" w:rsidP="00B7057B" w14:paraId="7A47A4D6" w14:textId="77777777">
            <w:pPr>
              <w:pStyle w:val="NoSpacing"/>
              <w:ind w:left="113" w:right="113"/>
              <w:jc w:val="center"/>
              <w:rPr>
                <w:rFonts w:ascii="Verdana" w:hAnsi="Verdana"/>
                <w:b/>
                <w:bCs/>
                <w:sz w:val="16"/>
                <w:szCs w:val="16"/>
              </w:rPr>
            </w:pPr>
            <w:r w:rsidRPr="00CA0CDF">
              <w:rPr>
                <w:rFonts w:ascii="Verdana" w:hAnsi="Verdana"/>
                <w:b/>
                <w:bCs/>
                <w:sz w:val="16"/>
                <w:szCs w:val="16"/>
              </w:rPr>
              <w:t>Sannsynlighet</w:t>
            </w:r>
          </w:p>
        </w:tc>
        <w:tc>
          <w:tcPr>
            <w:tcW w:w="1571" w:type="dxa"/>
            <w:vAlign w:val="center"/>
            <w:hideMark/>
          </w:tcPr>
          <w:p w:rsidR="00BF4BB1" w:rsidRPr="00CA0CDF" w:rsidP="00B7057B" w14:paraId="298B8C19" w14:textId="77777777">
            <w:pPr>
              <w:pStyle w:val="NoSpacing"/>
              <w:rPr>
                <w:rFonts w:ascii="Verdana" w:hAnsi="Verdana"/>
                <w:sz w:val="16"/>
                <w:szCs w:val="16"/>
              </w:rPr>
            </w:pPr>
            <w:r w:rsidRPr="00CA0CDF">
              <w:rPr>
                <w:rFonts w:ascii="Verdana" w:hAnsi="Verdana"/>
                <w:b/>
                <w:bCs/>
                <w:sz w:val="16"/>
                <w:szCs w:val="16"/>
              </w:rPr>
              <w:t>1 – Svært liten</w:t>
            </w:r>
          </w:p>
        </w:tc>
        <w:tc>
          <w:tcPr>
            <w:tcW w:w="1450" w:type="dxa"/>
            <w:shd w:val="clear" w:color="auto" w:fill="00FF00"/>
            <w:vAlign w:val="center"/>
            <w:hideMark/>
          </w:tcPr>
          <w:p w:rsidR="00BF4BB1" w:rsidRPr="00CA0CDF" w:rsidP="00850DD0" w14:paraId="698A535A" w14:textId="77777777">
            <w:pPr>
              <w:pStyle w:val="NoSpacing"/>
              <w:jc w:val="center"/>
              <w:rPr>
                <w:rFonts w:ascii="Verdana" w:hAnsi="Verdana"/>
                <w:b/>
                <w:bCs/>
                <w:sz w:val="16"/>
                <w:szCs w:val="16"/>
              </w:rPr>
            </w:pPr>
            <w:r w:rsidRPr="00CA0CDF">
              <w:rPr>
                <w:rFonts w:ascii="Verdana" w:hAnsi="Verdana"/>
                <w:b/>
                <w:bCs/>
                <w:sz w:val="16"/>
                <w:szCs w:val="16"/>
              </w:rPr>
              <w:t>1</w:t>
            </w:r>
          </w:p>
        </w:tc>
        <w:tc>
          <w:tcPr>
            <w:tcW w:w="1533" w:type="dxa"/>
            <w:shd w:val="clear" w:color="auto" w:fill="00FF00"/>
            <w:vAlign w:val="center"/>
            <w:hideMark/>
          </w:tcPr>
          <w:p w:rsidR="00BF4BB1" w:rsidRPr="00CA0CDF" w:rsidP="00850DD0" w14:paraId="7AAC8D57" w14:textId="20BD650A">
            <w:pPr>
              <w:pStyle w:val="NoSpacing"/>
              <w:jc w:val="center"/>
              <w:rPr>
                <w:rFonts w:ascii="Verdana" w:hAnsi="Verdana"/>
                <w:b/>
                <w:bCs/>
                <w:sz w:val="16"/>
                <w:szCs w:val="16"/>
              </w:rPr>
            </w:pPr>
            <w:r w:rsidRPr="00CA0CDF">
              <w:rPr>
                <w:rFonts w:ascii="Verdana" w:hAnsi="Verdana"/>
                <w:b/>
                <w:bCs/>
                <w:sz w:val="16"/>
                <w:szCs w:val="16"/>
              </w:rPr>
              <w:t>2</w:t>
            </w:r>
          </w:p>
        </w:tc>
        <w:tc>
          <w:tcPr>
            <w:tcW w:w="1466" w:type="dxa"/>
            <w:shd w:val="clear" w:color="auto" w:fill="00FF00"/>
            <w:vAlign w:val="center"/>
            <w:hideMark/>
          </w:tcPr>
          <w:p w:rsidR="00BF4BB1" w:rsidRPr="00CA0CDF" w:rsidP="00850DD0" w14:paraId="48B74727" w14:textId="1CD9EEAD">
            <w:pPr>
              <w:pStyle w:val="NoSpacing"/>
              <w:jc w:val="center"/>
              <w:rPr>
                <w:rFonts w:ascii="Verdana" w:hAnsi="Verdana"/>
                <w:b/>
                <w:bCs/>
                <w:sz w:val="16"/>
                <w:szCs w:val="16"/>
              </w:rPr>
            </w:pPr>
            <w:r w:rsidRPr="00CA0CDF">
              <w:rPr>
                <w:rFonts w:ascii="Verdana" w:hAnsi="Verdana"/>
                <w:b/>
                <w:bCs/>
                <w:sz w:val="16"/>
                <w:szCs w:val="16"/>
              </w:rPr>
              <w:t>3</w:t>
            </w:r>
          </w:p>
        </w:tc>
        <w:tc>
          <w:tcPr>
            <w:tcW w:w="1391" w:type="dxa"/>
            <w:shd w:val="clear" w:color="auto" w:fill="00FF00"/>
            <w:vAlign w:val="center"/>
            <w:hideMark/>
          </w:tcPr>
          <w:p w:rsidR="00BF4BB1" w:rsidRPr="00CA0CDF" w:rsidP="00850DD0" w14:paraId="3A318972" w14:textId="6FA6259B">
            <w:pPr>
              <w:pStyle w:val="NoSpacing"/>
              <w:jc w:val="center"/>
              <w:rPr>
                <w:rFonts w:ascii="Verdana" w:hAnsi="Verdana"/>
                <w:b/>
                <w:bCs/>
                <w:sz w:val="16"/>
                <w:szCs w:val="16"/>
              </w:rPr>
            </w:pPr>
            <w:r w:rsidRPr="00CA0CDF">
              <w:rPr>
                <w:rFonts w:ascii="Verdana" w:hAnsi="Verdana"/>
                <w:b/>
                <w:bCs/>
                <w:sz w:val="16"/>
                <w:szCs w:val="16"/>
              </w:rPr>
              <w:t>4</w:t>
            </w:r>
          </w:p>
        </w:tc>
        <w:tc>
          <w:tcPr>
            <w:tcW w:w="1015" w:type="dxa"/>
            <w:shd w:val="clear" w:color="auto" w:fill="FFFF00"/>
            <w:vAlign w:val="center"/>
          </w:tcPr>
          <w:p w:rsidR="00BF4BB1" w:rsidRPr="00CA0CDF" w:rsidP="00850DD0" w14:paraId="1972B1EF" w14:textId="77777777">
            <w:pPr>
              <w:pStyle w:val="NoSpacing"/>
              <w:jc w:val="center"/>
              <w:rPr>
                <w:rFonts w:ascii="Verdana" w:hAnsi="Verdana"/>
                <w:b/>
                <w:bCs/>
                <w:sz w:val="16"/>
                <w:szCs w:val="16"/>
              </w:rPr>
            </w:pPr>
            <w:r w:rsidRPr="00CA0CDF">
              <w:rPr>
                <w:rFonts w:ascii="Verdana" w:hAnsi="Verdana"/>
                <w:b/>
                <w:bCs/>
                <w:sz w:val="16"/>
                <w:szCs w:val="16"/>
              </w:rPr>
              <w:t>5</w:t>
            </w:r>
          </w:p>
        </w:tc>
      </w:tr>
      <w:tr w14:paraId="2F2976F3" w14:textId="77777777" w:rsidTr="00B7057B">
        <w:tblPrEx>
          <w:tblW w:w="9067" w:type="dxa"/>
          <w:tblCellSpacing w:w="15" w:type="dxa"/>
          <w:tblCellMar>
            <w:top w:w="15" w:type="dxa"/>
            <w:left w:w="15" w:type="dxa"/>
            <w:bottom w:w="15" w:type="dxa"/>
            <w:right w:w="15" w:type="dxa"/>
          </w:tblCellMar>
          <w:tblLook w:val="04A0"/>
        </w:tblPrEx>
        <w:trPr>
          <w:trHeight w:val="761"/>
          <w:tblCellSpacing w:w="15" w:type="dxa"/>
        </w:trPr>
        <w:tc>
          <w:tcPr>
            <w:tcW w:w="401" w:type="dxa"/>
            <w:vMerge/>
          </w:tcPr>
          <w:p w:rsidR="00BF4BB1" w:rsidRPr="00CA0CDF" w:rsidP="00B7057B" w14:paraId="66F03E4C" w14:textId="77777777">
            <w:pPr>
              <w:pStyle w:val="NoSpacing"/>
              <w:rPr>
                <w:rFonts w:ascii="Verdana" w:hAnsi="Verdana"/>
                <w:b/>
                <w:bCs/>
                <w:sz w:val="16"/>
                <w:szCs w:val="16"/>
              </w:rPr>
            </w:pPr>
          </w:p>
        </w:tc>
        <w:tc>
          <w:tcPr>
            <w:tcW w:w="1571" w:type="dxa"/>
            <w:vAlign w:val="center"/>
            <w:hideMark/>
          </w:tcPr>
          <w:p w:rsidR="00BF4BB1" w:rsidRPr="00CA0CDF" w:rsidP="00B7057B" w14:paraId="2992D296" w14:textId="77777777">
            <w:pPr>
              <w:pStyle w:val="NoSpacing"/>
              <w:rPr>
                <w:rFonts w:ascii="Verdana" w:hAnsi="Verdana"/>
                <w:sz w:val="16"/>
                <w:szCs w:val="16"/>
              </w:rPr>
            </w:pPr>
            <w:r w:rsidRPr="00CA0CDF">
              <w:rPr>
                <w:rFonts w:ascii="Verdana" w:hAnsi="Verdana"/>
                <w:b/>
                <w:bCs/>
                <w:sz w:val="16"/>
                <w:szCs w:val="16"/>
              </w:rPr>
              <w:t>2 - liten</w:t>
            </w:r>
          </w:p>
        </w:tc>
        <w:tc>
          <w:tcPr>
            <w:tcW w:w="1450" w:type="dxa"/>
            <w:shd w:val="clear" w:color="auto" w:fill="00FF00"/>
            <w:vAlign w:val="center"/>
            <w:hideMark/>
          </w:tcPr>
          <w:p w:rsidR="00BF4BB1" w:rsidRPr="00CA0CDF" w:rsidP="00850DD0" w14:paraId="00A58A54" w14:textId="53FDA571">
            <w:pPr>
              <w:pStyle w:val="NoSpacing"/>
              <w:jc w:val="center"/>
              <w:rPr>
                <w:rFonts w:ascii="Verdana" w:hAnsi="Verdana"/>
                <w:b/>
                <w:bCs/>
                <w:sz w:val="16"/>
                <w:szCs w:val="16"/>
              </w:rPr>
            </w:pPr>
            <w:r w:rsidRPr="00CA0CDF">
              <w:rPr>
                <w:rFonts w:ascii="Verdana" w:hAnsi="Verdana"/>
                <w:b/>
                <w:bCs/>
                <w:sz w:val="16"/>
                <w:szCs w:val="16"/>
              </w:rPr>
              <w:t>2</w:t>
            </w:r>
          </w:p>
        </w:tc>
        <w:tc>
          <w:tcPr>
            <w:tcW w:w="1533" w:type="dxa"/>
            <w:shd w:val="clear" w:color="auto" w:fill="00FF00"/>
            <w:vAlign w:val="center"/>
            <w:hideMark/>
          </w:tcPr>
          <w:p w:rsidR="00BF4BB1" w:rsidRPr="00CA0CDF" w:rsidP="00850DD0" w14:paraId="69B87714" w14:textId="44C0BCE3">
            <w:pPr>
              <w:pStyle w:val="NoSpacing"/>
              <w:jc w:val="center"/>
              <w:rPr>
                <w:rFonts w:ascii="Verdana" w:hAnsi="Verdana"/>
                <w:b/>
                <w:bCs/>
                <w:sz w:val="16"/>
                <w:szCs w:val="16"/>
              </w:rPr>
            </w:pPr>
            <w:r w:rsidRPr="00CA0CDF">
              <w:rPr>
                <w:rFonts w:ascii="Verdana" w:hAnsi="Verdana"/>
                <w:b/>
                <w:bCs/>
                <w:sz w:val="16"/>
                <w:szCs w:val="16"/>
              </w:rPr>
              <w:t>4</w:t>
            </w:r>
          </w:p>
        </w:tc>
        <w:tc>
          <w:tcPr>
            <w:tcW w:w="1466" w:type="dxa"/>
            <w:shd w:val="clear" w:color="auto" w:fill="FFFF00"/>
            <w:vAlign w:val="center"/>
            <w:hideMark/>
          </w:tcPr>
          <w:p w:rsidR="00BF4BB1" w:rsidRPr="00CA0CDF" w:rsidP="00850DD0" w14:paraId="64BD2DCE" w14:textId="311B2C54">
            <w:pPr>
              <w:pStyle w:val="NoSpacing"/>
              <w:jc w:val="center"/>
              <w:rPr>
                <w:rFonts w:ascii="Verdana" w:hAnsi="Verdana"/>
                <w:b/>
                <w:bCs/>
                <w:sz w:val="16"/>
                <w:szCs w:val="16"/>
              </w:rPr>
            </w:pPr>
            <w:r w:rsidRPr="00CA0CDF">
              <w:rPr>
                <w:rFonts w:ascii="Verdana" w:hAnsi="Verdana"/>
                <w:b/>
                <w:bCs/>
                <w:sz w:val="16"/>
                <w:szCs w:val="16"/>
              </w:rPr>
              <w:t>6</w:t>
            </w:r>
          </w:p>
        </w:tc>
        <w:tc>
          <w:tcPr>
            <w:tcW w:w="1391" w:type="dxa"/>
            <w:shd w:val="clear" w:color="auto" w:fill="FFFF00"/>
            <w:vAlign w:val="center"/>
            <w:hideMark/>
          </w:tcPr>
          <w:p w:rsidR="00BF4BB1" w:rsidRPr="00CA0CDF" w:rsidP="00850DD0" w14:paraId="48932096" w14:textId="7A806083">
            <w:pPr>
              <w:pStyle w:val="NoSpacing"/>
              <w:jc w:val="center"/>
              <w:rPr>
                <w:rFonts w:ascii="Verdana" w:hAnsi="Verdana"/>
                <w:b/>
                <w:bCs/>
                <w:sz w:val="16"/>
                <w:szCs w:val="16"/>
              </w:rPr>
            </w:pPr>
            <w:r w:rsidRPr="00CA0CDF">
              <w:rPr>
                <w:rFonts w:ascii="Verdana" w:hAnsi="Verdana"/>
                <w:b/>
                <w:bCs/>
                <w:sz w:val="16"/>
                <w:szCs w:val="16"/>
              </w:rPr>
              <w:t>8</w:t>
            </w:r>
          </w:p>
        </w:tc>
        <w:tc>
          <w:tcPr>
            <w:tcW w:w="1015" w:type="dxa"/>
            <w:shd w:val="clear" w:color="auto" w:fill="FFFF00"/>
            <w:vAlign w:val="center"/>
          </w:tcPr>
          <w:p w:rsidR="00BF4BB1" w:rsidRPr="00CA0CDF" w:rsidP="00850DD0" w14:paraId="4F55F1C8" w14:textId="77777777">
            <w:pPr>
              <w:pStyle w:val="NoSpacing"/>
              <w:jc w:val="center"/>
              <w:rPr>
                <w:rFonts w:ascii="Verdana" w:hAnsi="Verdana"/>
                <w:b/>
                <w:bCs/>
                <w:sz w:val="16"/>
                <w:szCs w:val="16"/>
              </w:rPr>
            </w:pPr>
            <w:r w:rsidRPr="00CA0CDF">
              <w:rPr>
                <w:rFonts w:ascii="Verdana" w:hAnsi="Verdana"/>
                <w:b/>
                <w:bCs/>
                <w:sz w:val="16"/>
                <w:szCs w:val="16"/>
              </w:rPr>
              <w:t>10</w:t>
            </w:r>
          </w:p>
        </w:tc>
      </w:tr>
      <w:tr w14:paraId="63FFC962" w14:textId="77777777" w:rsidTr="00B7057B">
        <w:tblPrEx>
          <w:tblW w:w="9067" w:type="dxa"/>
          <w:tblCellSpacing w:w="15" w:type="dxa"/>
          <w:tblCellMar>
            <w:top w:w="15" w:type="dxa"/>
            <w:left w:w="15" w:type="dxa"/>
            <w:bottom w:w="15" w:type="dxa"/>
            <w:right w:w="15" w:type="dxa"/>
          </w:tblCellMar>
          <w:tblLook w:val="04A0"/>
        </w:tblPrEx>
        <w:trPr>
          <w:trHeight w:val="761"/>
          <w:tblCellSpacing w:w="15" w:type="dxa"/>
        </w:trPr>
        <w:tc>
          <w:tcPr>
            <w:tcW w:w="401" w:type="dxa"/>
            <w:vMerge/>
          </w:tcPr>
          <w:p w:rsidR="00BF4BB1" w:rsidRPr="00CA0CDF" w:rsidP="00B7057B" w14:paraId="64C51454" w14:textId="77777777">
            <w:pPr>
              <w:pStyle w:val="NoSpacing"/>
              <w:rPr>
                <w:rFonts w:ascii="Verdana" w:hAnsi="Verdana"/>
                <w:b/>
                <w:bCs/>
                <w:sz w:val="16"/>
                <w:szCs w:val="16"/>
              </w:rPr>
            </w:pPr>
          </w:p>
        </w:tc>
        <w:tc>
          <w:tcPr>
            <w:tcW w:w="1571" w:type="dxa"/>
            <w:vAlign w:val="center"/>
            <w:hideMark/>
          </w:tcPr>
          <w:p w:rsidR="00BF4BB1" w:rsidRPr="00CA0CDF" w:rsidP="00B7057B" w14:paraId="77A9C25D" w14:textId="77777777">
            <w:pPr>
              <w:pStyle w:val="NoSpacing"/>
              <w:rPr>
                <w:rFonts w:ascii="Verdana" w:hAnsi="Verdana"/>
                <w:sz w:val="16"/>
                <w:szCs w:val="16"/>
              </w:rPr>
            </w:pPr>
            <w:r w:rsidRPr="00CA0CDF">
              <w:rPr>
                <w:rFonts w:ascii="Verdana" w:hAnsi="Verdana"/>
                <w:b/>
                <w:bCs/>
                <w:sz w:val="16"/>
                <w:szCs w:val="16"/>
              </w:rPr>
              <w:t>3 - Middels</w:t>
            </w:r>
          </w:p>
        </w:tc>
        <w:tc>
          <w:tcPr>
            <w:tcW w:w="1450" w:type="dxa"/>
            <w:shd w:val="clear" w:color="auto" w:fill="00FF00"/>
            <w:vAlign w:val="center"/>
            <w:hideMark/>
          </w:tcPr>
          <w:p w:rsidR="00BF4BB1" w:rsidRPr="00CA0CDF" w:rsidP="00850DD0" w14:paraId="4692608C" w14:textId="2A03852A">
            <w:pPr>
              <w:pStyle w:val="NoSpacing"/>
              <w:jc w:val="center"/>
              <w:rPr>
                <w:rFonts w:ascii="Verdana" w:hAnsi="Verdana"/>
                <w:b/>
                <w:bCs/>
                <w:sz w:val="16"/>
                <w:szCs w:val="16"/>
              </w:rPr>
            </w:pPr>
            <w:r w:rsidRPr="00CA0CDF">
              <w:rPr>
                <w:rFonts w:ascii="Verdana" w:hAnsi="Verdana"/>
                <w:b/>
                <w:bCs/>
                <w:sz w:val="16"/>
                <w:szCs w:val="16"/>
              </w:rPr>
              <w:t>3</w:t>
            </w:r>
          </w:p>
        </w:tc>
        <w:tc>
          <w:tcPr>
            <w:tcW w:w="1533" w:type="dxa"/>
            <w:shd w:val="clear" w:color="auto" w:fill="FFFF00"/>
            <w:vAlign w:val="center"/>
            <w:hideMark/>
          </w:tcPr>
          <w:p w:rsidR="00BF4BB1" w:rsidRPr="00CA0CDF" w:rsidP="00850DD0" w14:paraId="788EB0F3" w14:textId="64187499">
            <w:pPr>
              <w:pStyle w:val="NoSpacing"/>
              <w:jc w:val="center"/>
              <w:rPr>
                <w:rFonts w:ascii="Verdana" w:hAnsi="Verdana"/>
                <w:b/>
                <w:bCs/>
                <w:sz w:val="16"/>
                <w:szCs w:val="16"/>
              </w:rPr>
            </w:pPr>
            <w:r w:rsidRPr="00CA0CDF">
              <w:rPr>
                <w:rFonts w:ascii="Verdana" w:hAnsi="Verdana"/>
                <w:b/>
                <w:bCs/>
                <w:sz w:val="16"/>
                <w:szCs w:val="16"/>
              </w:rPr>
              <w:t>6</w:t>
            </w:r>
          </w:p>
        </w:tc>
        <w:tc>
          <w:tcPr>
            <w:tcW w:w="1466" w:type="dxa"/>
            <w:shd w:val="clear" w:color="auto" w:fill="FFFF00"/>
            <w:vAlign w:val="center"/>
            <w:hideMark/>
          </w:tcPr>
          <w:p w:rsidR="00BF4BB1" w:rsidRPr="00CA0CDF" w:rsidP="00850DD0" w14:paraId="15274F2B" w14:textId="193DF158">
            <w:pPr>
              <w:pStyle w:val="NoSpacing"/>
              <w:jc w:val="center"/>
              <w:rPr>
                <w:rFonts w:ascii="Verdana" w:hAnsi="Verdana"/>
                <w:b/>
                <w:bCs/>
                <w:sz w:val="16"/>
                <w:szCs w:val="16"/>
              </w:rPr>
            </w:pPr>
            <w:r w:rsidRPr="00CA0CDF">
              <w:rPr>
                <w:rFonts w:ascii="Verdana" w:hAnsi="Verdana"/>
                <w:b/>
                <w:bCs/>
                <w:sz w:val="16"/>
                <w:szCs w:val="16"/>
              </w:rPr>
              <w:t>9</w:t>
            </w:r>
          </w:p>
        </w:tc>
        <w:tc>
          <w:tcPr>
            <w:tcW w:w="1391" w:type="dxa"/>
            <w:shd w:val="clear" w:color="auto" w:fill="FFFF00"/>
            <w:vAlign w:val="center"/>
            <w:hideMark/>
          </w:tcPr>
          <w:p w:rsidR="00BF4BB1" w:rsidRPr="00CA0CDF" w:rsidP="00850DD0" w14:paraId="2014E5E3" w14:textId="786075B0">
            <w:pPr>
              <w:pStyle w:val="NoSpacing"/>
              <w:jc w:val="center"/>
              <w:rPr>
                <w:rFonts w:ascii="Verdana" w:hAnsi="Verdana"/>
                <w:b/>
                <w:bCs/>
                <w:sz w:val="16"/>
                <w:szCs w:val="16"/>
              </w:rPr>
            </w:pPr>
            <w:r w:rsidRPr="00CA0CDF">
              <w:rPr>
                <w:rFonts w:ascii="Verdana" w:hAnsi="Verdana"/>
                <w:b/>
                <w:bCs/>
                <w:sz w:val="16"/>
                <w:szCs w:val="16"/>
              </w:rPr>
              <w:t>12</w:t>
            </w:r>
          </w:p>
        </w:tc>
        <w:tc>
          <w:tcPr>
            <w:tcW w:w="1015" w:type="dxa"/>
            <w:shd w:val="clear" w:color="auto" w:fill="FF0000"/>
            <w:vAlign w:val="center"/>
          </w:tcPr>
          <w:p w:rsidR="00BF4BB1" w:rsidRPr="00CA0CDF" w:rsidP="00850DD0" w14:paraId="5CC3F0F5" w14:textId="77777777">
            <w:pPr>
              <w:pStyle w:val="NoSpacing"/>
              <w:jc w:val="center"/>
              <w:rPr>
                <w:rFonts w:ascii="Verdana" w:hAnsi="Verdana"/>
                <w:b/>
                <w:bCs/>
                <w:sz w:val="16"/>
                <w:szCs w:val="16"/>
              </w:rPr>
            </w:pPr>
            <w:r w:rsidRPr="00CA0CDF">
              <w:rPr>
                <w:rFonts w:ascii="Verdana" w:hAnsi="Verdana"/>
                <w:b/>
                <w:bCs/>
                <w:sz w:val="16"/>
                <w:szCs w:val="16"/>
              </w:rPr>
              <w:t>15</w:t>
            </w:r>
          </w:p>
        </w:tc>
      </w:tr>
      <w:tr w14:paraId="29128118" w14:textId="77777777" w:rsidTr="00B7057B">
        <w:tblPrEx>
          <w:tblW w:w="9067" w:type="dxa"/>
          <w:tblCellSpacing w:w="15" w:type="dxa"/>
          <w:tblCellMar>
            <w:top w:w="15" w:type="dxa"/>
            <w:left w:w="15" w:type="dxa"/>
            <w:bottom w:w="15" w:type="dxa"/>
            <w:right w:w="15" w:type="dxa"/>
          </w:tblCellMar>
          <w:tblLook w:val="04A0"/>
        </w:tblPrEx>
        <w:trPr>
          <w:trHeight w:val="761"/>
          <w:tblCellSpacing w:w="15" w:type="dxa"/>
        </w:trPr>
        <w:tc>
          <w:tcPr>
            <w:tcW w:w="401" w:type="dxa"/>
            <w:vMerge/>
          </w:tcPr>
          <w:p w:rsidR="00BF4BB1" w:rsidRPr="00CA0CDF" w:rsidP="00B7057B" w14:paraId="66DDA165" w14:textId="77777777">
            <w:pPr>
              <w:pStyle w:val="NoSpacing"/>
              <w:rPr>
                <w:rFonts w:ascii="Verdana" w:hAnsi="Verdana"/>
                <w:b/>
                <w:bCs/>
                <w:sz w:val="16"/>
                <w:szCs w:val="16"/>
              </w:rPr>
            </w:pPr>
          </w:p>
        </w:tc>
        <w:tc>
          <w:tcPr>
            <w:tcW w:w="1571" w:type="dxa"/>
            <w:vAlign w:val="center"/>
            <w:hideMark/>
          </w:tcPr>
          <w:p w:rsidR="00BF4BB1" w:rsidRPr="00CA0CDF" w:rsidP="00B7057B" w14:paraId="5F859600" w14:textId="77777777">
            <w:pPr>
              <w:pStyle w:val="NoSpacing"/>
              <w:rPr>
                <w:rFonts w:ascii="Verdana" w:hAnsi="Verdana"/>
                <w:sz w:val="16"/>
                <w:szCs w:val="16"/>
              </w:rPr>
            </w:pPr>
            <w:r w:rsidRPr="00CA0CDF">
              <w:rPr>
                <w:rFonts w:ascii="Verdana" w:hAnsi="Verdana"/>
                <w:b/>
                <w:bCs/>
                <w:sz w:val="16"/>
                <w:szCs w:val="16"/>
              </w:rPr>
              <w:t>4 - Stor</w:t>
            </w:r>
          </w:p>
        </w:tc>
        <w:tc>
          <w:tcPr>
            <w:tcW w:w="1450" w:type="dxa"/>
            <w:shd w:val="clear" w:color="auto" w:fill="00FF00"/>
            <w:vAlign w:val="center"/>
            <w:hideMark/>
          </w:tcPr>
          <w:p w:rsidR="00BF4BB1" w:rsidRPr="00CA0CDF" w:rsidP="00850DD0" w14:paraId="22D876F0" w14:textId="278FCE09">
            <w:pPr>
              <w:pStyle w:val="NoSpacing"/>
              <w:jc w:val="center"/>
              <w:rPr>
                <w:rFonts w:ascii="Verdana" w:hAnsi="Verdana"/>
                <w:b/>
                <w:bCs/>
                <w:sz w:val="16"/>
                <w:szCs w:val="16"/>
              </w:rPr>
            </w:pPr>
            <w:r w:rsidRPr="00CA0CDF">
              <w:rPr>
                <w:rFonts w:ascii="Verdana" w:hAnsi="Verdana"/>
                <w:b/>
                <w:bCs/>
                <w:sz w:val="16"/>
                <w:szCs w:val="16"/>
              </w:rPr>
              <w:t>4</w:t>
            </w:r>
          </w:p>
        </w:tc>
        <w:tc>
          <w:tcPr>
            <w:tcW w:w="1533" w:type="dxa"/>
            <w:shd w:val="clear" w:color="auto" w:fill="FFFF00"/>
            <w:vAlign w:val="center"/>
            <w:hideMark/>
          </w:tcPr>
          <w:p w:rsidR="00BF4BB1" w:rsidRPr="00CA0CDF" w:rsidP="00850DD0" w14:paraId="65578F1B" w14:textId="52DFF4BA">
            <w:pPr>
              <w:pStyle w:val="NoSpacing"/>
              <w:jc w:val="center"/>
              <w:rPr>
                <w:rFonts w:ascii="Verdana" w:hAnsi="Verdana"/>
                <w:b/>
                <w:bCs/>
                <w:sz w:val="16"/>
                <w:szCs w:val="16"/>
              </w:rPr>
            </w:pPr>
            <w:r w:rsidRPr="00CA0CDF">
              <w:rPr>
                <w:rFonts w:ascii="Verdana" w:hAnsi="Verdana"/>
                <w:b/>
                <w:bCs/>
                <w:sz w:val="16"/>
                <w:szCs w:val="16"/>
              </w:rPr>
              <w:t>8</w:t>
            </w:r>
          </w:p>
        </w:tc>
        <w:tc>
          <w:tcPr>
            <w:tcW w:w="1466" w:type="dxa"/>
            <w:shd w:val="clear" w:color="auto" w:fill="FF0000"/>
            <w:vAlign w:val="center"/>
            <w:hideMark/>
          </w:tcPr>
          <w:p w:rsidR="00BF4BB1" w:rsidRPr="00CA0CDF" w:rsidP="00850DD0" w14:paraId="6B19E84E" w14:textId="74BC6C04">
            <w:pPr>
              <w:pStyle w:val="NoSpacing"/>
              <w:jc w:val="center"/>
              <w:rPr>
                <w:rFonts w:ascii="Verdana" w:hAnsi="Verdana"/>
                <w:b/>
                <w:bCs/>
                <w:sz w:val="16"/>
                <w:szCs w:val="16"/>
              </w:rPr>
            </w:pPr>
            <w:r w:rsidRPr="00CA0CDF">
              <w:rPr>
                <w:rFonts w:ascii="Verdana" w:hAnsi="Verdana"/>
                <w:b/>
                <w:bCs/>
                <w:sz w:val="16"/>
                <w:szCs w:val="16"/>
              </w:rPr>
              <w:t>12</w:t>
            </w:r>
          </w:p>
        </w:tc>
        <w:tc>
          <w:tcPr>
            <w:tcW w:w="1391" w:type="dxa"/>
            <w:shd w:val="clear" w:color="auto" w:fill="FF0000"/>
            <w:vAlign w:val="center"/>
            <w:hideMark/>
          </w:tcPr>
          <w:p w:rsidR="00BF4BB1" w:rsidRPr="00CA0CDF" w:rsidP="00850DD0" w14:paraId="5BF1EEF2" w14:textId="7B88DD98">
            <w:pPr>
              <w:pStyle w:val="NoSpacing"/>
              <w:jc w:val="center"/>
              <w:rPr>
                <w:rFonts w:ascii="Verdana" w:hAnsi="Verdana"/>
                <w:b/>
                <w:bCs/>
                <w:sz w:val="16"/>
                <w:szCs w:val="16"/>
              </w:rPr>
            </w:pPr>
            <w:r w:rsidRPr="00CA0CDF">
              <w:rPr>
                <w:rFonts w:ascii="Verdana" w:hAnsi="Verdana"/>
                <w:b/>
                <w:bCs/>
                <w:sz w:val="16"/>
                <w:szCs w:val="16"/>
              </w:rPr>
              <w:t>16</w:t>
            </w:r>
          </w:p>
        </w:tc>
        <w:tc>
          <w:tcPr>
            <w:tcW w:w="1015" w:type="dxa"/>
            <w:shd w:val="clear" w:color="auto" w:fill="FF0000"/>
            <w:vAlign w:val="center"/>
          </w:tcPr>
          <w:p w:rsidR="00BF4BB1" w:rsidRPr="00CA0CDF" w:rsidP="00850DD0" w14:paraId="6B68A86E" w14:textId="77777777">
            <w:pPr>
              <w:pStyle w:val="NoSpacing"/>
              <w:jc w:val="center"/>
              <w:rPr>
                <w:rFonts w:ascii="Verdana" w:hAnsi="Verdana"/>
                <w:b/>
                <w:bCs/>
                <w:sz w:val="16"/>
                <w:szCs w:val="16"/>
              </w:rPr>
            </w:pPr>
            <w:r w:rsidRPr="00CA0CDF">
              <w:rPr>
                <w:rFonts w:ascii="Verdana" w:hAnsi="Verdana"/>
                <w:b/>
                <w:bCs/>
                <w:sz w:val="16"/>
                <w:szCs w:val="16"/>
              </w:rPr>
              <w:t>20</w:t>
            </w:r>
          </w:p>
        </w:tc>
      </w:tr>
      <w:tr w14:paraId="1A119EB8" w14:textId="77777777" w:rsidTr="00B7057B">
        <w:tblPrEx>
          <w:tblW w:w="9067" w:type="dxa"/>
          <w:tblCellSpacing w:w="15" w:type="dxa"/>
          <w:tblCellMar>
            <w:top w:w="15" w:type="dxa"/>
            <w:left w:w="15" w:type="dxa"/>
            <w:bottom w:w="15" w:type="dxa"/>
            <w:right w:w="15" w:type="dxa"/>
          </w:tblCellMar>
          <w:tblLook w:val="04A0"/>
        </w:tblPrEx>
        <w:trPr>
          <w:trHeight w:val="618"/>
          <w:tblCellSpacing w:w="15" w:type="dxa"/>
        </w:trPr>
        <w:tc>
          <w:tcPr>
            <w:tcW w:w="401" w:type="dxa"/>
            <w:vMerge/>
          </w:tcPr>
          <w:p w:rsidR="00BF4BB1" w:rsidRPr="00CA0CDF" w:rsidP="00B7057B" w14:paraId="45EF3662" w14:textId="77777777">
            <w:pPr>
              <w:pStyle w:val="NoSpacing"/>
              <w:rPr>
                <w:rFonts w:ascii="Verdana" w:hAnsi="Verdana"/>
                <w:b/>
                <w:bCs/>
                <w:sz w:val="16"/>
                <w:szCs w:val="16"/>
              </w:rPr>
            </w:pPr>
          </w:p>
        </w:tc>
        <w:tc>
          <w:tcPr>
            <w:tcW w:w="1571" w:type="dxa"/>
            <w:vAlign w:val="center"/>
          </w:tcPr>
          <w:p w:rsidR="00BF4BB1" w:rsidRPr="00CA0CDF" w:rsidP="00B7057B" w14:paraId="05061E14" w14:textId="77777777">
            <w:pPr>
              <w:pStyle w:val="NoSpacing"/>
              <w:rPr>
                <w:rFonts w:ascii="Verdana" w:hAnsi="Verdana"/>
                <w:b/>
                <w:bCs/>
                <w:sz w:val="16"/>
                <w:szCs w:val="16"/>
              </w:rPr>
            </w:pPr>
            <w:r w:rsidRPr="00CA0CDF">
              <w:rPr>
                <w:rFonts w:ascii="Verdana" w:hAnsi="Verdana"/>
                <w:b/>
                <w:bCs/>
                <w:sz w:val="16"/>
                <w:szCs w:val="16"/>
              </w:rPr>
              <w:t>5- Svært stor</w:t>
            </w:r>
          </w:p>
        </w:tc>
        <w:tc>
          <w:tcPr>
            <w:tcW w:w="1450" w:type="dxa"/>
            <w:shd w:val="clear" w:color="auto" w:fill="FFFF00"/>
            <w:vAlign w:val="center"/>
          </w:tcPr>
          <w:p w:rsidR="00BF4BB1" w:rsidRPr="00CA0CDF" w:rsidP="00850DD0" w14:paraId="56BC9BE3" w14:textId="77777777">
            <w:pPr>
              <w:pStyle w:val="NoSpacing"/>
              <w:jc w:val="center"/>
              <w:rPr>
                <w:rFonts w:ascii="Verdana" w:hAnsi="Verdana"/>
                <w:b/>
                <w:bCs/>
                <w:sz w:val="16"/>
                <w:szCs w:val="16"/>
              </w:rPr>
            </w:pPr>
            <w:r w:rsidRPr="00CA0CDF">
              <w:rPr>
                <w:rFonts w:ascii="Verdana" w:hAnsi="Verdana"/>
                <w:b/>
                <w:bCs/>
                <w:sz w:val="16"/>
                <w:szCs w:val="16"/>
              </w:rPr>
              <w:t>5</w:t>
            </w:r>
          </w:p>
        </w:tc>
        <w:tc>
          <w:tcPr>
            <w:tcW w:w="1533" w:type="dxa"/>
            <w:shd w:val="clear" w:color="auto" w:fill="FF0000"/>
            <w:vAlign w:val="center"/>
          </w:tcPr>
          <w:p w:rsidR="00BF4BB1" w:rsidRPr="00CA0CDF" w:rsidP="00850DD0" w14:paraId="1CB53D44" w14:textId="77777777">
            <w:pPr>
              <w:pStyle w:val="NoSpacing"/>
              <w:jc w:val="center"/>
              <w:rPr>
                <w:rFonts w:ascii="Verdana" w:hAnsi="Verdana"/>
                <w:b/>
                <w:bCs/>
                <w:sz w:val="16"/>
                <w:szCs w:val="16"/>
              </w:rPr>
            </w:pPr>
            <w:r w:rsidRPr="00CA0CDF">
              <w:rPr>
                <w:rFonts w:ascii="Verdana" w:hAnsi="Verdana"/>
                <w:b/>
                <w:bCs/>
                <w:sz w:val="16"/>
                <w:szCs w:val="16"/>
              </w:rPr>
              <w:t>10</w:t>
            </w:r>
          </w:p>
        </w:tc>
        <w:tc>
          <w:tcPr>
            <w:tcW w:w="1466" w:type="dxa"/>
            <w:shd w:val="clear" w:color="auto" w:fill="FF0000"/>
            <w:vAlign w:val="center"/>
          </w:tcPr>
          <w:p w:rsidR="00BF4BB1" w:rsidRPr="00CA0CDF" w:rsidP="00850DD0" w14:paraId="6FFC1F75" w14:textId="77777777">
            <w:pPr>
              <w:pStyle w:val="NoSpacing"/>
              <w:jc w:val="center"/>
              <w:rPr>
                <w:rFonts w:ascii="Verdana" w:hAnsi="Verdana"/>
                <w:b/>
                <w:bCs/>
                <w:sz w:val="16"/>
                <w:szCs w:val="16"/>
              </w:rPr>
            </w:pPr>
            <w:r w:rsidRPr="00CA0CDF">
              <w:rPr>
                <w:rFonts w:ascii="Verdana" w:hAnsi="Verdana"/>
                <w:b/>
                <w:bCs/>
                <w:sz w:val="16"/>
                <w:szCs w:val="16"/>
              </w:rPr>
              <w:t>15</w:t>
            </w:r>
          </w:p>
        </w:tc>
        <w:tc>
          <w:tcPr>
            <w:tcW w:w="1391" w:type="dxa"/>
            <w:shd w:val="clear" w:color="auto" w:fill="FF0000"/>
            <w:vAlign w:val="center"/>
          </w:tcPr>
          <w:p w:rsidR="00BF4BB1" w:rsidRPr="00CA0CDF" w:rsidP="00850DD0" w14:paraId="364FCFD4" w14:textId="77777777">
            <w:pPr>
              <w:pStyle w:val="NoSpacing"/>
              <w:jc w:val="center"/>
              <w:rPr>
                <w:rFonts w:ascii="Verdana" w:hAnsi="Verdana"/>
                <w:b/>
                <w:bCs/>
                <w:sz w:val="16"/>
                <w:szCs w:val="16"/>
              </w:rPr>
            </w:pPr>
            <w:r w:rsidRPr="00CA0CDF">
              <w:rPr>
                <w:rFonts w:ascii="Verdana" w:hAnsi="Verdana"/>
                <w:b/>
                <w:bCs/>
                <w:sz w:val="16"/>
                <w:szCs w:val="16"/>
              </w:rPr>
              <w:t>20</w:t>
            </w:r>
          </w:p>
        </w:tc>
        <w:tc>
          <w:tcPr>
            <w:tcW w:w="1015" w:type="dxa"/>
            <w:shd w:val="clear" w:color="auto" w:fill="FF0000"/>
            <w:vAlign w:val="center"/>
          </w:tcPr>
          <w:p w:rsidR="00BF4BB1" w:rsidRPr="00CA0CDF" w:rsidP="00850DD0" w14:paraId="2EE4C977" w14:textId="77777777">
            <w:pPr>
              <w:pStyle w:val="NoSpacing"/>
              <w:jc w:val="center"/>
              <w:rPr>
                <w:rFonts w:ascii="Verdana" w:hAnsi="Verdana"/>
                <w:b/>
                <w:bCs/>
                <w:sz w:val="16"/>
                <w:szCs w:val="16"/>
              </w:rPr>
            </w:pPr>
            <w:r w:rsidRPr="00CA0CDF">
              <w:rPr>
                <w:rFonts w:ascii="Verdana" w:hAnsi="Verdana"/>
                <w:b/>
                <w:bCs/>
                <w:sz w:val="16"/>
                <w:szCs w:val="16"/>
              </w:rPr>
              <w:t>25</w:t>
            </w:r>
          </w:p>
        </w:tc>
      </w:tr>
    </w:tbl>
    <w:p w:rsidR="00711F4F" w:rsidP="0078248A" w14:paraId="5C85333C" w14:textId="77777777"/>
    <w:p w:rsidR="00711F4F" w:rsidRPr="00711F4F" w:rsidP="00711F4F" w14:paraId="2878C7AB" w14:textId="77777777">
      <w:pPr>
        <w:spacing w:before="120" w:after="120"/>
        <w:rPr>
          <w:sz w:val="20"/>
          <w:szCs w:val="16"/>
        </w:rPr>
      </w:pPr>
      <w:r w:rsidRPr="00711F4F">
        <w:rPr>
          <w:b/>
          <w:bCs/>
          <w:sz w:val="20"/>
          <w:szCs w:val="16"/>
        </w:rPr>
        <w:t xml:space="preserve">Sannsynlighet vurderes etter </w:t>
      </w:r>
      <w:r w:rsidRPr="00711F4F">
        <w:rPr>
          <w:b/>
          <w:bCs/>
          <w:sz w:val="20"/>
          <w:szCs w:val="16"/>
        </w:rPr>
        <w:t>følgende kriterier</w:t>
      </w:r>
      <w:r w:rsidRPr="00711F4F">
        <w:rPr>
          <w:sz w:val="20"/>
          <w:szCs w:val="16"/>
        </w:rPr>
        <w:t>:</w:t>
      </w:r>
    </w:p>
    <w:tbl>
      <w:tblPr>
        <w:tblStyle w:val="TableGrid"/>
        <w:tblW w:w="0" w:type="auto"/>
        <w:tblLook w:val="04A0"/>
      </w:tblPr>
      <w:tblGrid>
        <w:gridCol w:w="1842"/>
        <w:gridCol w:w="1842"/>
        <w:gridCol w:w="1842"/>
        <w:gridCol w:w="1842"/>
        <w:gridCol w:w="1843"/>
      </w:tblGrid>
      <w:tr w14:paraId="19DF9BC2" w14:textId="77777777" w:rsidTr="00711F4F">
        <w:tblPrEx>
          <w:tblW w:w="0" w:type="auto"/>
          <w:tblLook w:val="04A0"/>
        </w:tblPrEx>
        <w:tc>
          <w:tcPr>
            <w:tcW w:w="1842" w:type="dxa"/>
            <w:shd w:val="clear" w:color="auto" w:fill="D9D9D9"/>
          </w:tcPr>
          <w:p w:rsidR="00711F4F" w:rsidRPr="00711F4F" w:rsidP="00711F4F" w14:paraId="3C90A351" w14:textId="77777777">
            <w:pPr>
              <w:spacing w:before="120" w:after="120"/>
              <w:jc w:val="center"/>
              <w:rPr>
                <w:b/>
                <w:bCs/>
                <w:sz w:val="14"/>
                <w:szCs w:val="10"/>
              </w:rPr>
            </w:pPr>
            <w:r w:rsidRPr="00711F4F">
              <w:rPr>
                <w:b/>
                <w:bCs/>
                <w:sz w:val="14"/>
                <w:szCs w:val="10"/>
              </w:rPr>
              <w:t>Svært liten 1</w:t>
            </w:r>
          </w:p>
        </w:tc>
        <w:tc>
          <w:tcPr>
            <w:tcW w:w="1842" w:type="dxa"/>
            <w:shd w:val="clear" w:color="auto" w:fill="D9D9D9"/>
          </w:tcPr>
          <w:p w:rsidR="00711F4F" w:rsidRPr="00711F4F" w:rsidP="00711F4F" w14:paraId="13D63D1C" w14:textId="77777777">
            <w:pPr>
              <w:spacing w:before="120" w:after="120"/>
              <w:jc w:val="center"/>
              <w:rPr>
                <w:b/>
                <w:bCs/>
                <w:sz w:val="14"/>
                <w:szCs w:val="10"/>
              </w:rPr>
            </w:pPr>
            <w:r w:rsidRPr="00711F4F">
              <w:rPr>
                <w:b/>
                <w:bCs/>
                <w:sz w:val="14"/>
                <w:szCs w:val="10"/>
              </w:rPr>
              <w:t>Liten 2</w:t>
            </w:r>
          </w:p>
        </w:tc>
        <w:tc>
          <w:tcPr>
            <w:tcW w:w="1842" w:type="dxa"/>
            <w:shd w:val="clear" w:color="auto" w:fill="D9D9D9"/>
          </w:tcPr>
          <w:p w:rsidR="00711F4F" w:rsidRPr="00711F4F" w:rsidP="00711F4F" w14:paraId="1CF3171E" w14:textId="77777777">
            <w:pPr>
              <w:spacing w:before="120" w:after="120"/>
              <w:jc w:val="center"/>
              <w:rPr>
                <w:b/>
                <w:bCs/>
                <w:sz w:val="14"/>
                <w:szCs w:val="10"/>
              </w:rPr>
            </w:pPr>
            <w:r w:rsidRPr="00711F4F">
              <w:rPr>
                <w:b/>
                <w:bCs/>
                <w:sz w:val="14"/>
                <w:szCs w:val="10"/>
              </w:rPr>
              <w:t>Middels 3</w:t>
            </w:r>
          </w:p>
        </w:tc>
        <w:tc>
          <w:tcPr>
            <w:tcW w:w="1842" w:type="dxa"/>
            <w:shd w:val="clear" w:color="auto" w:fill="D9D9D9"/>
          </w:tcPr>
          <w:p w:rsidR="00711F4F" w:rsidRPr="00711F4F" w:rsidP="00711F4F" w14:paraId="34CA995D" w14:textId="77777777">
            <w:pPr>
              <w:spacing w:before="120" w:after="120"/>
              <w:jc w:val="center"/>
              <w:rPr>
                <w:b/>
                <w:bCs/>
                <w:sz w:val="14"/>
                <w:szCs w:val="10"/>
              </w:rPr>
            </w:pPr>
            <w:r w:rsidRPr="00711F4F">
              <w:rPr>
                <w:b/>
                <w:bCs/>
                <w:sz w:val="14"/>
                <w:szCs w:val="10"/>
              </w:rPr>
              <w:t>Stor 4</w:t>
            </w:r>
          </w:p>
        </w:tc>
        <w:tc>
          <w:tcPr>
            <w:tcW w:w="1843" w:type="dxa"/>
            <w:shd w:val="clear" w:color="auto" w:fill="D9D9D9"/>
          </w:tcPr>
          <w:p w:rsidR="00711F4F" w:rsidRPr="00711F4F" w:rsidP="00711F4F" w14:paraId="5B6A58DA" w14:textId="77777777">
            <w:pPr>
              <w:spacing w:before="120" w:after="120"/>
              <w:jc w:val="center"/>
              <w:rPr>
                <w:b/>
                <w:bCs/>
                <w:sz w:val="14"/>
                <w:szCs w:val="10"/>
              </w:rPr>
            </w:pPr>
            <w:r w:rsidRPr="00711F4F">
              <w:rPr>
                <w:b/>
                <w:bCs/>
                <w:sz w:val="14"/>
                <w:szCs w:val="10"/>
              </w:rPr>
              <w:t>Svært stor 5</w:t>
            </w:r>
          </w:p>
        </w:tc>
      </w:tr>
      <w:tr w14:paraId="09264D75" w14:textId="77777777" w:rsidTr="00B7057B">
        <w:tblPrEx>
          <w:tblW w:w="0" w:type="auto"/>
          <w:tblLook w:val="04A0"/>
        </w:tblPrEx>
        <w:tc>
          <w:tcPr>
            <w:tcW w:w="1842" w:type="dxa"/>
          </w:tcPr>
          <w:p w:rsidR="00711F4F" w:rsidRPr="00711F4F" w:rsidP="00711F4F" w14:paraId="32671EEB" w14:textId="77777777">
            <w:pPr>
              <w:spacing w:before="120" w:after="120"/>
              <w:rPr>
                <w:sz w:val="14"/>
                <w:szCs w:val="10"/>
              </w:rPr>
            </w:pPr>
            <w:r w:rsidRPr="00711F4F">
              <w:rPr>
                <w:sz w:val="14"/>
                <w:szCs w:val="10"/>
              </w:rPr>
              <w:t>1 gang pr.20år eller sjeldnere</w:t>
            </w:r>
          </w:p>
        </w:tc>
        <w:tc>
          <w:tcPr>
            <w:tcW w:w="1842" w:type="dxa"/>
          </w:tcPr>
          <w:p w:rsidR="00711F4F" w:rsidRPr="00711F4F" w:rsidP="00711F4F" w14:paraId="3919F51D" w14:textId="77777777">
            <w:pPr>
              <w:spacing w:before="120" w:after="120"/>
              <w:rPr>
                <w:sz w:val="14"/>
                <w:szCs w:val="10"/>
              </w:rPr>
            </w:pPr>
            <w:r w:rsidRPr="00711F4F">
              <w:rPr>
                <w:sz w:val="14"/>
                <w:szCs w:val="10"/>
              </w:rPr>
              <w:t>1 gang pr.5år eller sjeldnere</w:t>
            </w:r>
          </w:p>
        </w:tc>
        <w:tc>
          <w:tcPr>
            <w:tcW w:w="1842" w:type="dxa"/>
          </w:tcPr>
          <w:p w:rsidR="00711F4F" w:rsidRPr="00711F4F" w:rsidP="00711F4F" w14:paraId="33DD27E9" w14:textId="77777777">
            <w:pPr>
              <w:spacing w:before="120" w:after="120"/>
              <w:rPr>
                <w:sz w:val="14"/>
                <w:szCs w:val="10"/>
              </w:rPr>
            </w:pPr>
            <w:r w:rsidRPr="00711F4F">
              <w:rPr>
                <w:sz w:val="14"/>
                <w:szCs w:val="10"/>
              </w:rPr>
              <w:t>1 gang pr.år eller sjeldnere</w:t>
            </w:r>
          </w:p>
        </w:tc>
        <w:tc>
          <w:tcPr>
            <w:tcW w:w="1842" w:type="dxa"/>
          </w:tcPr>
          <w:p w:rsidR="00711F4F" w:rsidRPr="00711F4F" w:rsidP="00711F4F" w14:paraId="4650EF55" w14:textId="77777777">
            <w:pPr>
              <w:spacing w:before="120" w:after="120"/>
              <w:rPr>
                <w:sz w:val="14"/>
                <w:szCs w:val="10"/>
              </w:rPr>
            </w:pPr>
            <w:r w:rsidRPr="00711F4F">
              <w:rPr>
                <w:sz w:val="14"/>
                <w:szCs w:val="10"/>
              </w:rPr>
              <w:t>1 gang pr.mnd. eller sjeldnere</w:t>
            </w:r>
          </w:p>
        </w:tc>
        <w:tc>
          <w:tcPr>
            <w:tcW w:w="1843" w:type="dxa"/>
          </w:tcPr>
          <w:p w:rsidR="00711F4F" w:rsidRPr="00711F4F" w:rsidP="00711F4F" w14:paraId="29FA79FB" w14:textId="77777777">
            <w:pPr>
              <w:spacing w:before="120" w:after="120"/>
              <w:rPr>
                <w:sz w:val="14"/>
                <w:szCs w:val="10"/>
              </w:rPr>
            </w:pPr>
            <w:r w:rsidRPr="00711F4F">
              <w:rPr>
                <w:sz w:val="14"/>
                <w:szCs w:val="10"/>
              </w:rPr>
              <w:t>Skjer ukentlig</w:t>
            </w:r>
          </w:p>
        </w:tc>
      </w:tr>
    </w:tbl>
    <w:p w:rsidR="00711F4F" w:rsidRPr="00711F4F" w:rsidP="00711F4F" w14:paraId="59010831" w14:textId="77777777">
      <w:pPr>
        <w:spacing w:before="120" w:after="120"/>
        <w:rPr>
          <w:sz w:val="20"/>
          <w:szCs w:val="16"/>
        </w:rPr>
      </w:pPr>
      <w:r w:rsidRPr="00711F4F">
        <w:rPr>
          <w:b/>
          <w:bCs/>
          <w:sz w:val="20"/>
          <w:szCs w:val="16"/>
        </w:rPr>
        <w:t xml:space="preserve">Konsekvens vurderes etter følgende </w:t>
      </w:r>
      <w:r w:rsidRPr="00711F4F">
        <w:rPr>
          <w:b/>
          <w:bCs/>
          <w:sz w:val="20"/>
          <w:szCs w:val="16"/>
        </w:rPr>
        <w:t>kriterier</w:t>
      </w:r>
      <w:r w:rsidRPr="00711F4F">
        <w:rPr>
          <w:sz w:val="20"/>
          <w:szCs w:val="16"/>
        </w:rPr>
        <w:t>:</w:t>
      </w:r>
    </w:p>
    <w:tbl>
      <w:tblPr>
        <w:tblStyle w:val="TableGrid"/>
        <w:tblW w:w="0" w:type="auto"/>
        <w:tblLook w:val="04A0"/>
      </w:tblPr>
      <w:tblGrid>
        <w:gridCol w:w="1809"/>
        <w:gridCol w:w="1807"/>
        <w:gridCol w:w="1879"/>
        <w:gridCol w:w="1972"/>
        <w:gridCol w:w="1809"/>
      </w:tblGrid>
      <w:tr w14:paraId="0E6186B0" w14:textId="77777777" w:rsidTr="00711F4F">
        <w:tblPrEx>
          <w:tblW w:w="0" w:type="auto"/>
          <w:tblLook w:val="04A0"/>
        </w:tblPrEx>
        <w:trPr>
          <w:trHeight w:val="557"/>
        </w:trPr>
        <w:tc>
          <w:tcPr>
            <w:tcW w:w="1809" w:type="dxa"/>
            <w:shd w:val="clear" w:color="auto" w:fill="D9D9D9"/>
          </w:tcPr>
          <w:p w:rsidR="00711F4F" w:rsidRPr="00711F4F" w:rsidP="00711F4F" w14:paraId="17A434FE" w14:textId="77777777">
            <w:pPr>
              <w:spacing w:before="120" w:after="120"/>
              <w:jc w:val="center"/>
              <w:rPr>
                <w:b/>
                <w:bCs/>
                <w:sz w:val="14"/>
                <w:szCs w:val="10"/>
              </w:rPr>
            </w:pPr>
            <w:r w:rsidRPr="00711F4F">
              <w:rPr>
                <w:b/>
                <w:bCs/>
                <w:sz w:val="14"/>
                <w:szCs w:val="10"/>
              </w:rPr>
              <w:t>Gradering</w:t>
            </w:r>
          </w:p>
        </w:tc>
        <w:tc>
          <w:tcPr>
            <w:tcW w:w="1807" w:type="dxa"/>
            <w:shd w:val="clear" w:color="auto" w:fill="D9D9D9"/>
          </w:tcPr>
          <w:p w:rsidR="00711F4F" w:rsidRPr="00711F4F" w:rsidP="00711F4F" w14:paraId="1191AB0D" w14:textId="77777777">
            <w:pPr>
              <w:spacing w:before="120" w:after="120"/>
              <w:jc w:val="center"/>
              <w:rPr>
                <w:b/>
                <w:bCs/>
                <w:sz w:val="14"/>
                <w:szCs w:val="10"/>
              </w:rPr>
            </w:pPr>
            <w:r w:rsidRPr="00711F4F">
              <w:rPr>
                <w:b/>
                <w:bCs/>
                <w:sz w:val="14"/>
                <w:szCs w:val="10"/>
              </w:rPr>
              <w:t>Menneske</w:t>
            </w:r>
          </w:p>
        </w:tc>
        <w:tc>
          <w:tcPr>
            <w:tcW w:w="1879" w:type="dxa"/>
            <w:shd w:val="clear" w:color="auto" w:fill="D9D9D9"/>
          </w:tcPr>
          <w:p w:rsidR="00711F4F" w:rsidRPr="00711F4F" w:rsidP="00711F4F" w14:paraId="1C5BBCBC" w14:textId="77777777">
            <w:pPr>
              <w:spacing w:before="120" w:after="120"/>
              <w:jc w:val="center"/>
              <w:rPr>
                <w:b/>
                <w:bCs/>
                <w:sz w:val="14"/>
                <w:szCs w:val="10"/>
              </w:rPr>
            </w:pPr>
            <w:r w:rsidRPr="00711F4F">
              <w:rPr>
                <w:b/>
                <w:bCs/>
                <w:sz w:val="14"/>
                <w:szCs w:val="10"/>
              </w:rPr>
              <w:t>Ytremiljø – vann, jord, luft.</w:t>
            </w:r>
          </w:p>
        </w:tc>
        <w:tc>
          <w:tcPr>
            <w:tcW w:w="1972" w:type="dxa"/>
            <w:shd w:val="clear" w:color="auto" w:fill="D9D9D9"/>
          </w:tcPr>
          <w:p w:rsidR="00711F4F" w:rsidRPr="00711F4F" w:rsidP="00711F4F" w14:paraId="066435D1" w14:textId="77777777">
            <w:pPr>
              <w:spacing w:before="120" w:after="120"/>
              <w:jc w:val="center"/>
              <w:rPr>
                <w:b/>
                <w:bCs/>
                <w:sz w:val="14"/>
                <w:szCs w:val="10"/>
              </w:rPr>
            </w:pPr>
            <w:r w:rsidRPr="00711F4F">
              <w:rPr>
                <w:b/>
                <w:bCs/>
                <w:sz w:val="14"/>
                <w:szCs w:val="10"/>
              </w:rPr>
              <w:t>Økonomi/materiell</w:t>
            </w:r>
          </w:p>
        </w:tc>
        <w:tc>
          <w:tcPr>
            <w:tcW w:w="1809" w:type="dxa"/>
            <w:shd w:val="clear" w:color="auto" w:fill="D9D9D9"/>
          </w:tcPr>
          <w:p w:rsidR="00711F4F" w:rsidRPr="00711F4F" w:rsidP="00711F4F" w14:paraId="4D714B45" w14:textId="77777777">
            <w:pPr>
              <w:spacing w:before="120" w:after="120"/>
              <w:jc w:val="center"/>
              <w:rPr>
                <w:b/>
                <w:bCs/>
                <w:sz w:val="14"/>
                <w:szCs w:val="10"/>
              </w:rPr>
            </w:pPr>
            <w:r w:rsidRPr="00711F4F">
              <w:rPr>
                <w:b/>
                <w:bCs/>
                <w:sz w:val="14"/>
                <w:szCs w:val="10"/>
              </w:rPr>
              <w:t>Omdømme</w:t>
            </w:r>
          </w:p>
        </w:tc>
      </w:tr>
      <w:tr w14:paraId="6A6FA4DB" w14:textId="77777777" w:rsidTr="00711F4F">
        <w:tblPrEx>
          <w:tblW w:w="0" w:type="auto"/>
          <w:tblLook w:val="04A0"/>
        </w:tblPrEx>
        <w:trPr>
          <w:trHeight w:val="395"/>
        </w:trPr>
        <w:tc>
          <w:tcPr>
            <w:tcW w:w="1809" w:type="dxa"/>
            <w:shd w:val="clear" w:color="auto" w:fill="D9D9D9"/>
          </w:tcPr>
          <w:p w:rsidR="00711F4F" w:rsidRPr="00711F4F" w:rsidP="00711F4F" w14:paraId="4E78C1A3" w14:textId="77777777">
            <w:pPr>
              <w:spacing w:before="120" w:after="120"/>
              <w:rPr>
                <w:b/>
                <w:bCs/>
                <w:sz w:val="14"/>
                <w:szCs w:val="10"/>
              </w:rPr>
            </w:pPr>
            <w:r w:rsidRPr="00711F4F">
              <w:rPr>
                <w:b/>
                <w:bCs/>
                <w:sz w:val="14"/>
                <w:szCs w:val="10"/>
              </w:rPr>
              <w:t>E- Svært alvorlig</w:t>
            </w:r>
          </w:p>
        </w:tc>
        <w:tc>
          <w:tcPr>
            <w:tcW w:w="1807" w:type="dxa"/>
          </w:tcPr>
          <w:p w:rsidR="00711F4F" w:rsidRPr="00711F4F" w:rsidP="00711F4F" w14:paraId="09A970CC" w14:textId="77777777">
            <w:pPr>
              <w:spacing w:before="120" w:after="120"/>
              <w:rPr>
                <w:sz w:val="14"/>
                <w:szCs w:val="10"/>
              </w:rPr>
            </w:pPr>
            <w:r w:rsidRPr="00711F4F">
              <w:rPr>
                <w:sz w:val="14"/>
                <w:szCs w:val="10"/>
              </w:rPr>
              <w:t>Død</w:t>
            </w:r>
          </w:p>
        </w:tc>
        <w:tc>
          <w:tcPr>
            <w:tcW w:w="1879" w:type="dxa"/>
          </w:tcPr>
          <w:p w:rsidR="00711F4F" w:rsidRPr="00711F4F" w:rsidP="00711F4F" w14:paraId="4458E8C6" w14:textId="77777777">
            <w:pPr>
              <w:spacing w:before="120" w:after="120"/>
              <w:rPr>
                <w:sz w:val="14"/>
                <w:szCs w:val="10"/>
              </w:rPr>
            </w:pPr>
            <w:r w:rsidRPr="00711F4F">
              <w:rPr>
                <w:sz w:val="14"/>
                <w:szCs w:val="10"/>
              </w:rPr>
              <w:t>Svært langvarig og ikke reversibel skade</w:t>
            </w:r>
          </w:p>
        </w:tc>
        <w:tc>
          <w:tcPr>
            <w:tcW w:w="1972" w:type="dxa"/>
          </w:tcPr>
          <w:p w:rsidR="00711F4F" w:rsidRPr="00711F4F" w:rsidP="00711F4F" w14:paraId="21E6C348" w14:textId="77777777">
            <w:pPr>
              <w:spacing w:before="120" w:after="120"/>
              <w:rPr>
                <w:sz w:val="14"/>
                <w:szCs w:val="10"/>
              </w:rPr>
            </w:pPr>
            <w:r w:rsidRPr="00711F4F">
              <w:rPr>
                <w:sz w:val="14"/>
                <w:szCs w:val="10"/>
              </w:rPr>
              <w:t>Drifts- eller aktivitetsstans &gt;1 år</w:t>
            </w:r>
          </w:p>
        </w:tc>
        <w:tc>
          <w:tcPr>
            <w:tcW w:w="1809" w:type="dxa"/>
          </w:tcPr>
          <w:p w:rsidR="00711F4F" w:rsidRPr="00711F4F" w:rsidP="00711F4F" w14:paraId="2CDE6258" w14:textId="77777777">
            <w:pPr>
              <w:spacing w:before="120" w:after="120"/>
              <w:rPr>
                <w:sz w:val="14"/>
                <w:szCs w:val="10"/>
              </w:rPr>
            </w:pPr>
            <w:r w:rsidRPr="00711F4F">
              <w:rPr>
                <w:sz w:val="14"/>
                <w:szCs w:val="10"/>
              </w:rPr>
              <w:t>Troverdighet og respekt betydelig og varig svekket</w:t>
            </w:r>
          </w:p>
        </w:tc>
      </w:tr>
      <w:tr w14:paraId="0F7FB9A0" w14:textId="77777777" w:rsidTr="00711F4F">
        <w:tblPrEx>
          <w:tblW w:w="0" w:type="auto"/>
          <w:tblLook w:val="04A0"/>
        </w:tblPrEx>
        <w:trPr>
          <w:trHeight w:val="395"/>
        </w:trPr>
        <w:tc>
          <w:tcPr>
            <w:tcW w:w="1809" w:type="dxa"/>
            <w:shd w:val="clear" w:color="auto" w:fill="D9D9D9"/>
          </w:tcPr>
          <w:p w:rsidR="00711F4F" w:rsidRPr="00711F4F" w:rsidP="00711F4F" w14:paraId="58144C0F" w14:textId="77777777">
            <w:pPr>
              <w:spacing w:before="120" w:after="120"/>
              <w:rPr>
                <w:b/>
                <w:bCs/>
                <w:sz w:val="14"/>
                <w:szCs w:val="10"/>
              </w:rPr>
            </w:pPr>
            <w:r w:rsidRPr="00711F4F">
              <w:rPr>
                <w:b/>
                <w:bCs/>
                <w:sz w:val="14"/>
                <w:szCs w:val="10"/>
              </w:rPr>
              <w:t xml:space="preserve">D- </w:t>
            </w:r>
            <w:r w:rsidRPr="00711F4F">
              <w:rPr>
                <w:b/>
                <w:bCs/>
                <w:sz w:val="14"/>
                <w:szCs w:val="10"/>
              </w:rPr>
              <w:t>Alvorlig</w:t>
            </w:r>
          </w:p>
        </w:tc>
        <w:tc>
          <w:tcPr>
            <w:tcW w:w="1807" w:type="dxa"/>
          </w:tcPr>
          <w:p w:rsidR="00711F4F" w:rsidRPr="00711F4F" w:rsidP="00711F4F" w14:paraId="1DB6C7DF" w14:textId="77777777">
            <w:pPr>
              <w:spacing w:before="120" w:after="120"/>
              <w:rPr>
                <w:sz w:val="14"/>
                <w:szCs w:val="10"/>
              </w:rPr>
            </w:pPr>
            <w:r w:rsidRPr="00711F4F">
              <w:rPr>
                <w:sz w:val="14"/>
                <w:szCs w:val="10"/>
              </w:rPr>
              <w:t>Alvorlig personskade. Mulig uførhet.</w:t>
            </w:r>
          </w:p>
        </w:tc>
        <w:tc>
          <w:tcPr>
            <w:tcW w:w="1879" w:type="dxa"/>
          </w:tcPr>
          <w:p w:rsidR="00711F4F" w:rsidRPr="00711F4F" w:rsidP="00711F4F" w14:paraId="081E897C" w14:textId="77777777">
            <w:pPr>
              <w:spacing w:before="120" w:after="120"/>
              <w:rPr>
                <w:sz w:val="14"/>
                <w:szCs w:val="10"/>
              </w:rPr>
            </w:pPr>
            <w:r w:rsidRPr="00711F4F">
              <w:rPr>
                <w:sz w:val="14"/>
                <w:szCs w:val="10"/>
              </w:rPr>
              <w:t>Langvarig skade. Lang restitusjonstid</w:t>
            </w:r>
          </w:p>
        </w:tc>
        <w:tc>
          <w:tcPr>
            <w:tcW w:w="1972" w:type="dxa"/>
          </w:tcPr>
          <w:p w:rsidR="00711F4F" w:rsidRPr="00711F4F" w:rsidP="00711F4F" w14:paraId="168D1ADD" w14:textId="77777777">
            <w:pPr>
              <w:spacing w:before="120" w:after="120"/>
              <w:rPr>
                <w:sz w:val="14"/>
                <w:szCs w:val="10"/>
              </w:rPr>
            </w:pPr>
            <w:r w:rsidRPr="00711F4F">
              <w:rPr>
                <w:sz w:val="14"/>
                <w:szCs w:val="10"/>
              </w:rPr>
              <w:t>Driftsstans &gt; ½ år Aktivitetsstans i opptil 1 år</w:t>
            </w:r>
          </w:p>
        </w:tc>
        <w:tc>
          <w:tcPr>
            <w:tcW w:w="1809" w:type="dxa"/>
          </w:tcPr>
          <w:p w:rsidR="00711F4F" w:rsidRPr="00711F4F" w:rsidP="00711F4F" w14:paraId="3E4C4855" w14:textId="77777777">
            <w:pPr>
              <w:spacing w:before="120" w:after="120"/>
              <w:rPr>
                <w:sz w:val="14"/>
                <w:szCs w:val="10"/>
              </w:rPr>
            </w:pPr>
            <w:r w:rsidRPr="00711F4F">
              <w:rPr>
                <w:sz w:val="14"/>
                <w:szCs w:val="10"/>
              </w:rPr>
              <w:t>Troverdighet og respekt betydelig svekket</w:t>
            </w:r>
          </w:p>
        </w:tc>
      </w:tr>
      <w:tr w14:paraId="7E571DB5" w14:textId="77777777" w:rsidTr="00711F4F">
        <w:tblPrEx>
          <w:tblW w:w="0" w:type="auto"/>
          <w:tblLook w:val="04A0"/>
        </w:tblPrEx>
        <w:trPr>
          <w:trHeight w:val="395"/>
        </w:trPr>
        <w:tc>
          <w:tcPr>
            <w:tcW w:w="1809" w:type="dxa"/>
            <w:shd w:val="clear" w:color="auto" w:fill="D9D9D9"/>
          </w:tcPr>
          <w:p w:rsidR="00711F4F" w:rsidRPr="00711F4F" w:rsidP="00711F4F" w14:paraId="3200F350" w14:textId="77777777">
            <w:pPr>
              <w:spacing w:before="120" w:after="120"/>
              <w:rPr>
                <w:b/>
                <w:bCs/>
                <w:sz w:val="14"/>
                <w:szCs w:val="10"/>
              </w:rPr>
            </w:pPr>
            <w:r w:rsidRPr="00711F4F">
              <w:rPr>
                <w:b/>
                <w:bCs/>
                <w:sz w:val="14"/>
                <w:szCs w:val="10"/>
              </w:rPr>
              <w:t>C- Moderat</w:t>
            </w:r>
          </w:p>
        </w:tc>
        <w:tc>
          <w:tcPr>
            <w:tcW w:w="1807" w:type="dxa"/>
          </w:tcPr>
          <w:p w:rsidR="00711F4F" w:rsidRPr="00711F4F" w:rsidP="00711F4F" w14:paraId="698302C6" w14:textId="77777777">
            <w:pPr>
              <w:spacing w:before="120" w:after="120"/>
              <w:rPr>
                <w:sz w:val="14"/>
                <w:szCs w:val="10"/>
              </w:rPr>
            </w:pPr>
            <w:r w:rsidRPr="00711F4F">
              <w:rPr>
                <w:sz w:val="14"/>
                <w:szCs w:val="10"/>
              </w:rPr>
              <w:t>Alvorlig personskade</w:t>
            </w:r>
          </w:p>
        </w:tc>
        <w:tc>
          <w:tcPr>
            <w:tcW w:w="1879" w:type="dxa"/>
          </w:tcPr>
          <w:p w:rsidR="00711F4F" w:rsidRPr="00711F4F" w:rsidP="00711F4F" w14:paraId="620E6767" w14:textId="77777777">
            <w:pPr>
              <w:spacing w:before="120" w:after="120"/>
              <w:rPr>
                <w:sz w:val="14"/>
                <w:szCs w:val="10"/>
              </w:rPr>
            </w:pPr>
            <w:r w:rsidRPr="00711F4F">
              <w:rPr>
                <w:sz w:val="14"/>
                <w:szCs w:val="10"/>
              </w:rPr>
              <w:t>Mindre skade og lang restitusjonstid</w:t>
            </w:r>
          </w:p>
        </w:tc>
        <w:tc>
          <w:tcPr>
            <w:tcW w:w="1972" w:type="dxa"/>
          </w:tcPr>
          <w:p w:rsidR="00711F4F" w:rsidRPr="00711F4F" w:rsidP="00711F4F" w14:paraId="5DA1D5D3" w14:textId="77777777">
            <w:pPr>
              <w:spacing w:before="120" w:after="120"/>
              <w:rPr>
                <w:sz w:val="14"/>
                <w:szCs w:val="10"/>
              </w:rPr>
            </w:pPr>
            <w:r w:rsidRPr="00711F4F">
              <w:rPr>
                <w:sz w:val="14"/>
                <w:szCs w:val="10"/>
              </w:rPr>
              <w:t xml:space="preserve">Drifts- </w:t>
            </w:r>
            <w:r w:rsidRPr="00711F4F">
              <w:rPr>
                <w:sz w:val="14"/>
                <w:szCs w:val="10"/>
              </w:rPr>
              <w:t>eller aktivitetsstans &lt; 1 mnd</w:t>
            </w:r>
          </w:p>
        </w:tc>
        <w:tc>
          <w:tcPr>
            <w:tcW w:w="1809" w:type="dxa"/>
          </w:tcPr>
          <w:p w:rsidR="00711F4F" w:rsidRPr="00711F4F" w:rsidP="00711F4F" w14:paraId="2494DFB6" w14:textId="77777777">
            <w:pPr>
              <w:spacing w:before="120" w:after="120"/>
              <w:rPr>
                <w:sz w:val="14"/>
                <w:szCs w:val="10"/>
              </w:rPr>
            </w:pPr>
            <w:r w:rsidRPr="00711F4F">
              <w:rPr>
                <w:sz w:val="14"/>
                <w:szCs w:val="10"/>
              </w:rPr>
              <w:t>Troverdighet og respekt svekket</w:t>
            </w:r>
          </w:p>
        </w:tc>
      </w:tr>
      <w:tr w14:paraId="0FA54791" w14:textId="77777777" w:rsidTr="00711F4F">
        <w:tblPrEx>
          <w:tblW w:w="0" w:type="auto"/>
          <w:tblLook w:val="04A0"/>
        </w:tblPrEx>
        <w:trPr>
          <w:trHeight w:val="395"/>
        </w:trPr>
        <w:tc>
          <w:tcPr>
            <w:tcW w:w="1809" w:type="dxa"/>
            <w:shd w:val="clear" w:color="auto" w:fill="D9D9D9"/>
          </w:tcPr>
          <w:p w:rsidR="00711F4F" w:rsidRPr="00711F4F" w:rsidP="00711F4F" w14:paraId="6F1BABBA" w14:textId="77777777">
            <w:pPr>
              <w:spacing w:before="120" w:after="120"/>
              <w:rPr>
                <w:b/>
                <w:bCs/>
                <w:sz w:val="14"/>
                <w:szCs w:val="10"/>
              </w:rPr>
            </w:pPr>
            <w:r w:rsidRPr="00711F4F">
              <w:rPr>
                <w:b/>
                <w:bCs/>
                <w:sz w:val="14"/>
                <w:szCs w:val="10"/>
              </w:rPr>
              <w:t>B - Liten</w:t>
            </w:r>
          </w:p>
        </w:tc>
        <w:tc>
          <w:tcPr>
            <w:tcW w:w="1807" w:type="dxa"/>
          </w:tcPr>
          <w:p w:rsidR="00711F4F" w:rsidRPr="00711F4F" w:rsidP="00711F4F" w14:paraId="1397EBE5" w14:textId="77777777">
            <w:pPr>
              <w:spacing w:before="120" w:after="120"/>
              <w:rPr>
                <w:sz w:val="14"/>
                <w:szCs w:val="10"/>
              </w:rPr>
            </w:pPr>
            <w:r w:rsidRPr="00711F4F">
              <w:rPr>
                <w:sz w:val="14"/>
                <w:szCs w:val="10"/>
              </w:rPr>
              <w:t>Skade som krever medisinsk behandling</w:t>
            </w:r>
          </w:p>
        </w:tc>
        <w:tc>
          <w:tcPr>
            <w:tcW w:w="1879" w:type="dxa"/>
          </w:tcPr>
          <w:p w:rsidR="00711F4F" w:rsidRPr="00711F4F" w:rsidP="00711F4F" w14:paraId="46416444" w14:textId="77777777">
            <w:pPr>
              <w:spacing w:before="120" w:after="120"/>
              <w:rPr>
                <w:sz w:val="14"/>
                <w:szCs w:val="10"/>
              </w:rPr>
            </w:pPr>
            <w:r w:rsidRPr="00711F4F">
              <w:rPr>
                <w:sz w:val="14"/>
                <w:szCs w:val="10"/>
              </w:rPr>
              <w:t>Mindre skade og kort restitusjonstid</w:t>
            </w:r>
          </w:p>
        </w:tc>
        <w:tc>
          <w:tcPr>
            <w:tcW w:w="1972" w:type="dxa"/>
          </w:tcPr>
          <w:p w:rsidR="00711F4F" w:rsidRPr="00711F4F" w:rsidP="00711F4F" w14:paraId="55B067C2" w14:textId="77777777">
            <w:pPr>
              <w:spacing w:before="120" w:after="120"/>
              <w:rPr>
                <w:sz w:val="14"/>
                <w:szCs w:val="10"/>
              </w:rPr>
            </w:pPr>
            <w:r w:rsidRPr="00711F4F">
              <w:rPr>
                <w:sz w:val="14"/>
                <w:szCs w:val="10"/>
              </w:rPr>
              <w:t>Drifts- eller aktivitetsstans &lt; 1uke</w:t>
            </w:r>
          </w:p>
        </w:tc>
        <w:tc>
          <w:tcPr>
            <w:tcW w:w="1809" w:type="dxa"/>
          </w:tcPr>
          <w:p w:rsidR="00711F4F" w:rsidRPr="00711F4F" w:rsidP="00711F4F" w14:paraId="6B895C42" w14:textId="77777777">
            <w:pPr>
              <w:spacing w:before="120" w:after="120"/>
              <w:rPr>
                <w:sz w:val="14"/>
                <w:szCs w:val="10"/>
              </w:rPr>
            </w:pPr>
            <w:r w:rsidRPr="00711F4F">
              <w:rPr>
                <w:sz w:val="14"/>
                <w:szCs w:val="10"/>
              </w:rPr>
              <w:t>Negativ påvirkning på troverdighet og respekt</w:t>
            </w:r>
          </w:p>
        </w:tc>
      </w:tr>
      <w:tr w14:paraId="09B0EAFB" w14:textId="77777777" w:rsidTr="00711F4F">
        <w:tblPrEx>
          <w:tblW w:w="0" w:type="auto"/>
          <w:tblLook w:val="04A0"/>
        </w:tblPrEx>
        <w:trPr>
          <w:trHeight w:val="395"/>
        </w:trPr>
        <w:tc>
          <w:tcPr>
            <w:tcW w:w="1809" w:type="dxa"/>
            <w:shd w:val="clear" w:color="auto" w:fill="D9D9D9"/>
          </w:tcPr>
          <w:p w:rsidR="00711F4F" w:rsidRPr="00711F4F" w:rsidP="00711F4F" w14:paraId="52B73541" w14:textId="77777777">
            <w:pPr>
              <w:spacing w:before="120" w:after="120"/>
              <w:rPr>
                <w:b/>
                <w:bCs/>
                <w:sz w:val="14"/>
                <w:szCs w:val="10"/>
              </w:rPr>
            </w:pPr>
            <w:r w:rsidRPr="00711F4F">
              <w:rPr>
                <w:b/>
                <w:bCs/>
                <w:sz w:val="14"/>
                <w:szCs w:val="10"/>
              </w:rPr>
              <w:t>A – svært liten</w:t>
            </w:r>
          </w:p>
        </w:tc>
        <w:tc>
          <w:tcPr>
            <w:tcW w:w="1807" w:type="dxa"/>
          </w:tcPr>
          <w:p w:rsidR="00711F4F" w:rsidRPr="00711F4F" w:rsidP="00711F4F" w14:paraId="5982E590" w14:textId="77777777">
            <w:pPr>
              <w:spacing w:before="120" w:after="120"/>
              <w:rPr>
                <w:sz w:val="14"/>
                <w:szCs w:val="10"/>
              </w:rPr>
            </w:pPr>
            <w:r w:rsidRPr="00711F4F">
              <w:rPr>
                <w:sz w:val="14"/>
                <w:szCs w:val="10"/>
              </w:rPr>
              <w:t>Skade som krever førstehjelp</w:t>
            </w:r>
          </w:p>
        </w:tc>
        <w:tc>
          <w:tcPr>
            <w:tcW w:w="1879" w:type="dxa"/>
          </w:tcPr>
          <w:p w:rsidR="00711F4F" w:rsidRPr="00711F4F" w:rsidP="00711F4F" w14:paraId="0DADB52F" w14:textId="77777777">
            <w:pPr>
              <w:spacing w:before="120" w:after="120"/>
              <w:rPr>
                <w:sz w:val="14"/>
                <w:szCs w:val="10"/>
              </w:rPr>
            </w:pPr>
            <w:r w:rsidRPr="00711F4F">
              <w:rPr>
                <w:sz w:val="14"/>
                <w:szCs w:val="10"/>
              </w:rPr>
              <w:t>Ubetydelig skade og kort restitusjonstid</w:t>
            </w:r>
          </w:p>
        </w:tc>
        <w:tc>
          <w:tcPr>
            <w:tcW w:w="1972" w:type="dxa"/>
          </w:tcPr>
          <w:p w:rsidR="00711F4F" w:rsidRPr="00711F4F" w:rsidP="00711F4F" w14:paraId="5C0C86D1" w14:textId="77777777">
            <w:pPr>
              <w:spacing w:before="120" w:after="120"/>
              <w:rPr>
                <w:sz w:val="14"/>
                <w:szCs w:val="10"/>
              </w:rPr>
            </w:pPr>
            <w:r w:rsidRPr="00711F4F">
              <w:rPr>
                <w:sz w:val="14"/>
                <w:szCs w:val="10"/>
              </w:rPr>
              <w:t>Drifts- eller aktivitetsstans &lt; 1dag</w:t>
            </w:r>
          </w:p>
        </w:tc>
        <w:tc>
          <w:tcPr>
            <w:tcW w:w="1809" w:type="dxa"/>
          </w:tcPr>
          <w:p w:rsidR="00711F4F" w:rsidRPr="00711F4F" w:rsidP="00711F4F" w14:paraId="679CE959" w14:textId="77777777">
            <w:pPr>
              <w:spacing w:before="120" w:after="120"/>
              <w:rPr>
                <w:sz w:val="14"/>
                <w:szCs w:val="10"/>
              </w:rPr>
            </w:pPr>
            <w:r w:rsidRPr="00711F4F">
              <w:rPr>
                <w:sz w:val="14"/>
                <w:szCs w:val="10"/>
              </w:rPr>
              <w:t>Liten påvirkning på troverdighet og respekt</w:t>
            </w:r>
          </w:p>
        </w:tc>
      </w:tr>
    </w:tbl>
    <w:p w:rsidR="006729E1" w:rsidP="00850DD0" w14:paraId="68F9C1F5" w14:textId="77777777">
      <w:pPr>
        <w:pStyle w:val="Heading1"/>
      </w:pPr>
    </w:p>
    <w:p w:rsidR="00BF4BB1" w:rsidP="00850DD0" w14:paraId="03B86782" w14:textId="78B8EA19">
      <w:pPr>
        <w:pStyle w:val="Heading1"/>
      </w:pPr>
      <w:r w:rsidRPr="00BF4BB1">
        <w:t>Gjennomføring av risikovurdering</w:t>
      </w:r>
    </w:p>
    <w:p w:rsidR="00850DD0" w:rsidRPr="00850DD0" w:rsidP="00850DD0" w14:paraId="0D91B513" w14:textId="77777777"/>
    <w:p w:rsidR="00BF4BB1" w:rsidRPr="00BF4BB1" w:rsidP="00BF4BB1" w14:paraId="5467A6F7" w14:textId="77777777">
      <w:pPr>
        <w:rPr>
          <w:b/>
          <w:bCs/>
        </w:rPr>
      </w:pPr>
      <w:bookmarkStart w:id="2" w:name="hva-skal-risikovurderes"/>
      <w:bookmarkEnd w:id="2"/>
      <w:r w:rsidRPr="00BF4BB1">
        <w:rPr>
          <w:b/>
          <w:bCs/>
        </w:rPr>
        <w:t>Hva skal risikovurderes innen helse, miljø og sikkerhet (HMS)?</w:t>
      </w:r>
    </w:p>
    <w:p w:rsidR="00BF4BB1" w:rsidRPr="00BF4BB1" w:rsidP="00BF4BB1" w14:paraId="277D292C" w14:textId="77777777">
      <w:r w:rsidRPr="00BF4BB1">
        <w:t>Alt som kan forårsake skade på mennesker, materiell/utstyr eller ytre miljø skal risikovurderes. Husk at risiko ikke bare handler om fysiske, umiddelbare farer. De hyppigste årsakene til fravær fra arbeidslivet er ergonomiske og psykososiale forhold som muskel- og skjelettplager, stress og konflikter. Risikovurdering må derfor også omfatte slike forhold.</w:t>
      </w:r>
    </w:p>
    <w:p w:rsidR="00BF4BB1" w:rsidP="0078248A" w14:paraId="4414862A" w14:textId="77777777"/>
    <w:p w:rsidR="00BF4BB1" w:rsidRPr="00BF4BB1" w:rsidP="00BF4BB1" w14:paraId="44C8354D" w14:textId="77777777">
      <w:pPr>
        <w:rPr>
          <w:b/>
          <w:bCs/>
        </w:rPr>
      </w:pPr>
      <w:r w:rsidRPr="00BF4BB1">
        <w:rPr>
          <w:b/>
          <w:bCs/>
        </w:rPr>
        <w:t>Hva skal risikovurdering gi svar på?</w:t>
      </w:r>
    </w:p>
    <w:p w:rsidR="00BF4BB1" w:rsidRPr="00BF4BB1" w:rsidP="00BF4BB1" w14:paraId="4FB19E24" w14:textId="77777777">
      <w:pPr>
        <w:numPr>
          <w:ilvl w:val="0"/>
          <w:numId w:val="12"/>
        </w:numPr>
      </w:pPr>
      <w:r w:rsidRPr="00BF4BB1">
        <w:t>Hva kan gå galt (uønsket hendelse)?</w:t>
      </w:r>
    </w:p>
    <w:p w:rsidR="00BF4BB1" w:rsidRPr="00BF4BB1" w:rsidP="00BF4BB1" w14:paraId="6C0CBCBE" w14:textId="77777777">
      <w:pPr>
        <w:numPr>
          <w:ilvl w:val="0"/>
          <w:numId w:val="12"/>
        </w:numPr>
      </w:pPr>
      <w:r w:rsidRPr="00BF4BB1">
        <w:t>Hvor stor er sannsynligheten for at det går galt?</w:t>
      </w:r>
    </w:p>
    <w:p w:rsidR="00BF4BB1" w:rsidRPr="00BF4BB1" w:rsidP="00BF4BB1" w14:paraId="3FB1B3EB" w14:textId="77777777">
      <w:pPr>
        <w:numPr>
          <w:ilvl w:val="0"/>
          <w:numId w:val="12"/>
        </w:numPr>
      </w:pPr>
      <w:r w:rsidRPr="00BF4BB1">
        <w:t xml:space="preserve">Hva er konsekvensene hvis det går </w:t>
      </w:r>
      <w:r w:rsidRPr="00BF4BB1">
        <w:t>galt?</w:t>
      </w:r>
    </w:p>
    <w:p w:rsidR="00BF4BB1" w:rsidRPr="00BF4BB1" w:rsidP="00BF4BB1" w14:paraId="1F50119E" w14:textId="77777777">
      <w:pPr>
        <w:numPr>
          <w:ilvl w:val="0"/>
          <w:numId w:val="12"/>
        </w:numPr>
      </w:pPr>
      <w:r w:rsidRPr="00BF4BB1">
        <w:t>Hvilke tiltak er iverksatt? Må nye tiltak iverksettes?</w:t>
      </w:r>
    </w:p>
    <w:p w:rsidR="00BF4BB1" w:rsidRPr="00BF4BB1" w:rsidP="00BF4BB1" w14:paraId="5DC0ACAB" w14:textId="77777777">
      <w:pPr>
        <w:numPr>
          <w:ilvl w:val="0"/>
          <w:numId w:val="12"/>
        </w:numPr>
      </w:pPr>
      <w:r w:rsidRPr="00BF4BB1">
        <w:t>Hvem skal gjennomføre tiltakene, når og hvordan?</w:t>
      </w:r>
    </w:p>
    <w:p w:rsidR="00BF4BB1" w:rsidP="0078248A" w14:paraId="1D26B502" w14:textId="77777777"/>
    <w:p w:rsidR="00BF4BB1" w:rsidRPr="00BF4BB1" w:rsidP="00BF4BB1" w14:paraId="1DFD7D04" w14:textId="77777777">
      <w:pPr>
        <w:rPr>
          <w:b/>
          <w:bCs/>
        </w:rPr>
      </w:pPr>
      <w:r w:rsidRPr="00BF4BB1">
        <w:rPr>
          <w:b/>
          <w:bCs/>
        </w:rPr>
        <w:t>Når skal risikovurdering gjennomføres?</w:t>
      </w:r>
    </w:p>
    <w:p w:rsidR="00BF4BB1" w:rsidRPr="00BF4BB1" w:rsidP="00BF4BB1" w14:paraId="20B1B7F4" w14:textId="77777777">
      <w:r w:rsidRPr="00BF4BB1">
        <w:t>Arbeidsoppgaver og arbeidsprosesser skal risikovurderes:</w:t>
      </w:r>
    </w:p>
    <w:p w:rsidR="00BF4BB1" w:rsidRPr="00BF4BB1" w:rsidP="00BF4BB1" w14:paraId="5CEAD9A4" w14:textId="77777777">
      <w:pPr>
        <w:numPr>
          <w:ilvl w:val="0"/>
          <w:numId w:val="13"/>
        </w:numPr>
      </w:pPr>
      <w:r w:rsidRPr="00BF4BB1">
        <w:t>før en ny arbeidsoppgave eller arbeidsprosess blir satt i gang</w:t>
      </w:r>
    </w:p>
    <w:p w:rsidR="00BF4BB1" w:rsidRPr="00BF4BB1" w:rsidP="00BF4BB1" w14:paraId="38AC45CA" w14:textId="77777777">
      <w:pPr>
        <w:numPr>
          <w:ilvl w:val="0"/>
          <w:numId w:val="13"/>
        </w:numPr>
      </w:pPr>
      <w:r w:rsidRPr="00BF4BB1">
        <w:t>hvis arbeidsoppgaven eller arbeidsprosessen endres slik at risikoen blir vesentlig endret</w:t>
      </w:r>
    </w:p>
    <w:p w:rsidR="00BF4BB1" w:rsidRPr="00BF4BB1" w:rsidP="00BF4BB1" w14:paraId="43FE2EB9" w14:textId="77777777">
      <w:pPr>
        <w:numPr>
          <w:ilvl w:val="0"/>
          <w:numId w:val="13"/>
        </w:numPr>
      </w:pPr>
      <w:r w:rsidRPr="00BF4BB1">
        <w:t>hvis enheten skal kjøpe inn nytt utstyr som kan medføre skade på mennesker, materiell/utstyr eller ytre miljø</w:t>
      </w:r>
    </w:p>
    <w:p w:rsidR="00BF4BB1" w:rsidRPr="00BF4BB1" w:rsidP="00BF4BB1" w14:paraId="09534EF8" w14:textId="77777777">
      <w:pPr>
        <w:numPr>
          <w:ilvl w:val="0"/>
          <w:numId w:val="13"/>
        </w:numPr>
      </w:pPr>
      <w:r w:rsidRPr="00BF4BB1">
        <w:t>regelmessig, for eksempel annethvert år</w:t>
      </w:r>
    </w:p>
    <w:p w:rsidR="00BF4BB1" w:rsidP="0078248A" w14:paraId="6A6BC4FC" w14:textId="77777777"/>
    <w:p w:rsidR="00BF4BB1" w:rsidRPr="00BF4BB1" w:rsidP="00BF4BB1" w14:paraId="31F4AA6E" w14:textId="77777777">
      <w:pPr>
        <w:rPr>
          <w:b/>
          <w:bCs/>
        </w:rPr>
      </w:pPr>
      <w:r w:rsidRPr="00BF4BB1">
        <w:rPr>
          <w:b/>
          <w:bCs/>
        </w:rPr>
        <w:t>Områder som kan høre med i en risikovurdering</w:t>
      </w:r>
    </w:p>
    <w:p w:rsidR="00BF4BB1" w:rsidRPr="00BF4BB1" w:rsidP="00BF4BB1" w14:paraId="123B199A" w14:textId="77777777">
      <w:r w:rsidRPr="00BF4BB1">
        <w:t xml:space="preserve">OBS: Listen over områder som kan høre med i en risikovurdering </w:t>
      </w:r>
      <w:r w:rsidRPr="00BF4BB1">
        <w:rPr>
          <w:u w:val="single"/>
        </w:rPr>
        <w:t>er ikke uttømmende</w:t>
      </w:r>
      <w:r w:rsidRPr="00BF4BB1">
        <w:t>. Enheten må selv undersøke hvilke regelverk som er gjeldende når nye aktiviteter skal igangsettes.</w:t>
      </w:r>
    </w:p>
    <w:p w:rsidR="00BF4BB1" w:rsidP="0078248A" w14:paraId="08BAA388" w14:textId="77777777"/>
    <w:p w:rsidR="00BF4BB1" w:rsidP="00BF4BB1" w14:paraId="561A6316" w14:textId="682FB702">
      <w:pPr>
        <w:numPr>
          <w:ilvl w:val="0"/>
          <w:numId w:val="14"/>
        </w:numPr>
      </w:pPr>
      <w:r>
        <w:t>Arbeid i høyden</w:t>
      </w:r>
    </w:p>
    <w:p w:rsidR="00BF4BB1" w:rsidP="00BF4BB1" w14:paraId="74D3F5B0" w14:textId="13CF0519">
      <w:pPr>
        <w:numPr>
          <w:ilvl w:val="0"/>
          <w:numId w:val="14"/>
        </w:numPr>
      </w:pPr>
      <w:r>
        <w:t xml:space="preserve">Brann og </w:t>
      </w:r>
      <w:r>
        <w:t>elsikkerhet</w:t>
      </w:r>
    </w:p>
    <w:p w:rsidR="00BF4BB1" w:rsidP="00BF4BB1" w14:paraId="02F57796" w14:textId="61EA27E0">
      <w:pPr>
        <w:numPr>
          <w:ilvl w:val="0"/>
          <w:numId w:val="14"/>
        </w:numPr>
      </w:pPr>
      <w:r>
        <w:t>Ergonomi</w:t>
      </w:r>
    </w:p>
    <w:p w:rsidR="00BF4BB1" w:rsidP="00BF4BB1" w14:paraId="38B0DF8E" w14:textId="02C14F82">
      <w:pPr>
        <w:numPr>
          <w:ilvl w:val="0"/>
          <w:numId w:val="14"/>
        </w:numPr>
      </w:pPr>
      <w:r>
        <w:t>Kjemikalier</w:t>
      </w:r>
    </w:p>
    <w:p w:rsidR="00BF4BB1" w:rsidP="00BF4BB1" w14:paraId="0C0EE75D" w14:textId="0C8BEDA4">
      <w:pPr>
        <w:numPr>
          <w:ilvl w:val="0"/>
          <w:numId w:val="14"/>
        </w:numPr>
      </w:pPr>
      <w:r>
        <w:t>Biologiske faktorer</w:t>
      </w:r>
    </w:p>
    <w:p w:rsidR="00BF4BB1" w:rsidP="00BF4BB1" w14:paraId="7A9AEF06" w14:textId="3C4B785F">
      <w:pPr>
        <w:numPr>
          <w:ilvl w:val="0"/>
          <w:numId w:val="14"/>
        </w:numPr>
      </w:pPr>
      <w:r>
        <w:t>Fare for forplantningsskader</w:t>
      </w:r>
    </w:p>
    <w:p w:rsidR="00BF4BB1" w:rsidP="00BF4BB1" w14:paraId="0F620C21" w14:textId="1A91E3A3">
      <w:pPr>
        <w:numPr>
          <w:ilvl w:val="0"/>
          <w:numId w:val="14"/>
        </w:numPr>
      </w:pPr>
      <w:r>
        <w:t>Støy vibrasjoner</w:t>
      </w:r>
    </w:p>
    <w:p w:rsidR="00BF4BB1" w:rsidP="00BF4BB1" w14:paraId="67E53A36" w14:textId="3D70776A">
      <w:pPr>
        <w:numPr>
          <w:ilvl w:val="0"/>
          <w:numId w:val="14"/>
        </w:numPr>
      </w:pPr>
      <w:r>
        <w:t>Strålekilder</w:t>
      </w:r>
    </w:p>
    <w:p w:rsidR="00BF4BB1" w:rsidP="00BF4BB1" w14:paraId="4322AAF7" w14:textId="7A56243A">
      <w:pPr>
        <w:numPr>
          <w:ilvl w:val="0"/>
          <w:numId w:val="14"/>
        </w:numPr>
      </w:pPr>
      <w:r>
        <w:t>Maskiner</w:t>
      </w:r>
    </w:p>
    <w:p w:rsidR="00BF4BB1" w:rsidP="00BF4BB1" w14:paraId="2D3B372E" w14:textId="03924964">
      <w:pPr>
        <w:numPr>
          <w:ilvl w:val="0"/>
          <w:numId w:val="14"/>
        </w:numPr>
      </w:pPr>
      <w:r>
        <w:t>Psykososialt arbeidsmiljø</w:t>
      </w:r>
    </w:p>
    <w:p w:rsidR="00BF4BB1" w:rsidP="00BF4BB1" w14:paraId="557BAE6E" w14:textId="316E67DB">
      <w:pPr>
        <w:numPr>
          <w:ilvl w:val="0"/>
          <w:numId w:val="14"/>
        </w:numPr>
      </w:pPr>
      <w:r>
        <w:t>Informasjonskilder</w:t>
      </w:r>
    </w:p>
    <w:p w:rsidR="00BF4BB1" w:rsidP="00BF4BB1" w14:paraId="2A340FB7" w14:textId="10B4FCBF">
      <w:pPr>
        <w:numPr>
          <w:ilvl w:val="0"/>
          <w:numId w:val="14"/>
        </w:numPr>
      </w:pPr>
      <w:r>
        <w:t>Prosjekter</w:t>
      </w:r>
    </w:p>
    <w:p w:rsidR="00BF4BB1" w:rsidP="00BF4BB1" w14:paraId="5AC7BE5D" w14:textId="76FC8223">
      <w:pPr>
        <w:numPr>
          <w:ilvl w:val="0"/>
          <w:numId w:val="14"/>
        </w:numPr>
      </w:pPr>
      <w:r>
        <w:t>Prosesser</w:t>
      </w:r>
    </w:p>
    <w:p w:rsidR="00BF4BB1" w:rsidP="00BF4BB1" w14:paraId="7C0A037F" w14:textId="614210E2">
      <w:pPr>
        <w:numPr>
          <w:ilvl w:val="0"/>
          <w:numId w:val="14"/>
        </w:numPr>
      </w:pPr>
      <w:r>
        <w:t>Prosedyrer</w:t>
      </w:r>
    </w:p>
    <w:p w:rsidR="00BF4BB1" w:rsidP="00BF4BB1" w14:paraId="7D6695B1" w14:textId="79282357">
      <w:pPr>
        <w:numPr>
          <w:ilvl w:val="0"/>
          <w:numId w:val="14"/>
        </w:numPr>
      </w:pPr>
      <w:r>
        <w:t>Datautstyr og programmer</w:t>
      </w:r>
    </w:p>
    <w:p w:rsidR="00BF4BB1" w:rsidP="00BF4BB1" w14:paraId="4F588A83" w14:textId="11F75813">
      <w:pPr>
        <w:numPr>
          <w:ilvl w:val="0"/>
          <w:numId w:val="14"/>
        </w:numPr>
      </w:pPr>
      <w:r>
        <w:t xml:space="preserve">Ekskursjoner </w:t>
      </w:r>
      <w:r>
        <w:t>(bedriftsbesøk m.m)</w:t>
      </w:r>
    </w:p>
    <w:p w:rsidR="00BF4BB1" w:rsidRPr="0078248A" w:rsidP="0078248A" w14:paraId="6937421C" w14:textId="77777777"/>
    <w:p w:rsidR="00B86626" w:rsidRPr="009F7EB5" w:rsidP="00AA3FF6" w14:paraId="1ED6C585" w14:textId="1BC82179">
      <w:pPr>
        <w:pStyle w:val="Heading1"/>
        <w:numPr>
          <w:ilvl w:val="0"/>
          <w:numId w:val="3"/>
        </w:numPr>
        <w:spacing w:after="120"/>
        <w:jc w:val="both"/>
      </w:pPr>
      <w:r w:rsidRPr="009F7EB5">
        <w:t>Referanser</w:t>
      </w:r>
    </w:p>
    <w:p w:rsidR="00A42B73" w:rsidP="00E44BC6" w14:paraId="67FECD11" w14:textId="47565C00">
      <w:pPr>
        <w:spacing w:after="120"/>
        <w:ind w:left="142"/>
        <w:jc w:val="both"/>
      </w:pPr>
      <w:r>
        <w:rPr>
          <w:i/>
          <w:iCs/>
        </w:rPr>
        <w:t xml:space="preserve">Interne </w:t>
      </w:r>
      <w:r w:rsidRPr="00F9677E" w:rsidR="00892B8C">
        <w:rPr>
          <w:i/>
          <w:iCs/>
        </w:rPr>
        <w:t>referanser</w:t>
      </w:r>
      <w:r w:rsidR="00892B8C">
        <w:t xml:space="preserve"> henviser til dokumenter som finnes i THYFs </w:t>
      </w:r>
      <w:r>
        <w:t xml:space="preserve">portal for </w:t>
      </w:r>
      <w:r w:rsidR="00892B8C">
        <w:t xml:space="preserve">ledelsessystem. </w:t>
      </w:r>
      <w:r w:rsidRPr="00F65CB0" w:rsidR="00892B8C">
        <w:rPr>
          <w:i/>
          <w:iCs/>
        </w:rPr>
        <w:t>Eksterne referanser</w:t>
      </w:r>
      <w:r w:rsidR="00892B8C">
        <w:t xml:space="preserve"> henviser til dokumenter som ligger tilgjengelig utenfor ledelsessystemet.</w:t>
      </w:r>
    </w:p>
    <w:p w:rsidR="001C0FFA" w:rsidP="00E44BC6" w14:paraId="02699B6C" w14:textId="6169EBF5">
      <w:pPr>
        <w:spacing w:after="120"/>
        <w:ind w:left="142"/>
        <w:jc w:val="both"/>
      </w:pPr>
      <w:r>
        <w:t>Referanse</w:t>
      </w:r>
      <w:r w:rsidR="00F26C4C">
        <w:t>r</w:t>
      </w:r>
      <w:r>
        <w:t xml:space="preserve"> utgjør viktige systemforbindelser til relaterte dokumenter, skjema, prosessflytdiagram</w:t>
      </w:r>
      <w:r w:rsidR="00F26C4C">
        <w:t>, nettsteder,</w:t>
      </w:r>
      <w:r>
        <w:t xml:space="preserve"> eller annen relevant informasjon</w:t>
      </w:r>
      <w:r w:rsidR="00F26C4C">
        <w:t xml:space="preserve"> som for eksempel lover, forskrifter og standarder</w:t>
      </w:r>
      <w:r>
        <w:t>.</w:t>
      </w:r>
    </w:p>
    <w:p w:rsidR="009F7EB5" w:rsidRPr="00CF0617" w:rsidP="009F7EB5" w14:paraId="259E6A4C" w14:textId="77777777">
      <w:pPr>
        <w:spacing w:after="120"/>
        <w:ind w:left="-142"/>
        <w:rPr>
          <w:szCs w:val="18"/>
        </w:rPr>
      </w:pPr>
    </w:p>
    <w:p w:rsidR="001C0FFA" w:rsidRPr="007D26B5" w:rsidP="00CA0CDF" w14:paraId="02699B6D" w14:textId="3A015A33">
      <w:pPr>
        <w:pStyle w:val="Heading2"/>
      </w:pPr>
      <w:r w:rsidRPr="00CA0CDF">
        <w:t>Interne</w:t>
      </w:r>
      <w:r>
        <w:t xml:space="preserve"> </w:t>
      </w:r>
      <w:r w:rsidRPr="007D26B5" w:rsidR="00892B8C">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22"/>
        <w:gridCol w:w="69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7D26B5">
            <w:pPr>
              <w:numPr>
                <w:ilvl w:val="0"/>
                <w:numId w:val="0"/>
              </w:numPr>
              <w:ind w:left="426"/>
              <w:rPr>
                <w:b w:val="0"/>
                <w:color w:val="0000FF"/>
                <w:u w:val="single"/>
              </w:rPr>
            </w:pPr>
            <w:bookmarkStart w:id="3" w:name="EK_Referanse"/>
            <w:hyperlink r:id="rId5" w:history="1">
              <w:r>
                <w:rPr>
                  <w:b w:val="0"/>
                  <w:color w:val="0000FF"/>
                  <w:u w:val="single"/>
                </w:rPr>
                <w:t>L-.7.3</w:t>
              </w:r>
            </w:hyperlink>
          </w:p>
        </w:tc>
        <w:tc>
          <w:tcPr>
            <w:tcW w:w="3750" w:type="pct"/>
            <w:tcBorders>
              <w:top w:val="nil"/>
              <w:left w:val="nil"/>
              <w:bottom w:val="nil"/>
              <w:right w:val="nil"/>
            </w:tcBorders>
          </w:tcPr>
          <w:p w:rsidP="007D26B5">
            <w:pPr>
              <w:numPr>
                <w:ilvl w:val="0"/>
                <w:numId w:val="0"/>
              </w:numPr>
              <w:ind w:left="426"/>
              <w:rPr>
                <w:b w:val="0"/>
                <w:color w:val="0000FF"/>
                <w:u w:val="single"/>
              </w:rPr>
            </w:pPr>
            <w:hyperlink r:id="rId5" w:history="1">
              <w:r>
                <w:rPr>
                  <w:b w:val="0"/>
                  <w:color w:val="0000FF"/>
                  <w:u w:val="single"/>
                </w:rPr>
                <w:t>Retningslinje for kvalitetskrav til en risikoanalyse</w:t>
              </w:r>
            </w:hyperlink>
          </w:p>
        </w:tc>
      </w:tr>
    </w:tbl>
    <w:p w:rsidR="00671862" w:rsidP="007D26B5" w14:paraId="3F009015" w14:textId="77777777">
      <w:pPr>
        <w:ind w:left="426"/>
        <w:rPr>
          <w:b/>
          <w:bCs/>
          <w:szCs w:val="18"/>
        </w:rPr>
      </w:pP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7"/>
      </w:tblGrid>
      <w:tr w14:paraId="5D8743B3"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tcBorders>
              <w:top w:val="nil"/>
              <w:left w:val="nil"/>
              <w:bottom w:val="nil"/>
              <w:right w:val="nil"/>
            </w:tcBorders>
          </w:tcPr>
          <w:p w:rsidR="0084393D" w:rsidP="00CA0CDF" w14:paraId="3B704802" w14:textId="2F3735C8">
            <w:pPr>
              <w:pStyle w:val="Heading2"/>
              <w:rPr>
                <w:color w:val="0000FF"/>
                <w:u w:val="single"/>
              </w:rPr>
            </w:pPr>
            <w:r w:rsidRPr="00CF0617">
              <w:t>Eksterne referanser</w:t>
            </w:r>
            <w:r>
              <w:t xml:space="preserve">   </w:t>
            </w:r>
          </w:p>
        </w:tc>
      </w:tr>
    </w:tbl>
    <w:p w:rsidR="001C0FFA" w:rsidRPr="00CF0617" w:rsidP="007D26B5" w14:paraId="02699B76" w14:textId="77777777">
      <w:pPr>
        <w:ind w:left="284"/>
        <w:rPr>
          <w:szCs w:val="18"/>
        </w:rPr>
      </w:pPr>
    </w:p>
    <w:p w:rsidR="001C0FFA" w:rsidRPr="00CF0617" w14:paraId="02699B77" w14:textId="1DEEDB98">
      <w:pPr>
        <w:rPr>
          <w:szCs w:val="18"/>
        </w:rPr>
      </w:pPr>
    </w:p>
    <w:sectPr>
      <w:headerReference w:type="default" r:id="rId6"/>
      <w:footerReference w:type="first" r:id="rId7"/>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swald">
    <w:panose1 w:val="00000500000000000000"/>
    <w:charset w:val="00"/>
    <w:family w:val="auto"/>
    <w:pitch w:val="variable"/>
    <w:sig w:usb0="2000020F" w:usb1="00000000"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0FFA" w14:paraId="02699B83" w14:textId="299422B7">
    <w:pPr>
      <w:pStyle w:val="Footer"/>
    </w:pPr>
    <w:r>
      <w:fldChar w:fldCharType="begin" w:fldLock="1"/>
    </w:r>
    <w:r>
      <w:instrText xml:space="preserve"> DOCPROPERTY EK_EKPrintMerke </w:instrText>
    </w:r>
    <w:r>
      <w:fldChar w:fldCharType="separate"/>
    </w:r>
    <w:r>
      <w:t>Uoffisiell utskrift er kun gyldig på utskriftsdato</w:t>
    </w:r>
    <w:r>
      <w:fldChar w:fldCharType="end"/>
    </w:r>
    <w:r>
      <w:t xml:space="preserve"> - </w:t>
    </w:r>
    <w:r>
      <w:fldChar w:fldCharType="begin"/>
    </w:r>
    <w:r>
      <w:instrText xml:space="preserve"> TIME \@ "dd.MM.yyyy" </w:instrText>
    </w:r>
    <w:r>
      <w:fldChar w:fldCharType="separate"/>
    </w:r>
    <w:r>
      <w:t>21.03.2025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4"/>
      <w:gridCol w:w="6"/>
      <w:gridCol w:w="1962"/>
    </w:tblGrid>
    <w:tr w14:paraId="02699B7B" w14:textId="77777777">
      <w:tblPrEx>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c>
        <w:tcPr>
          <w:tcW w:w="7104" w:type="dxa"/>
          <w:tcBorders>
            <w:bottom w:val="nil"/>
          </w:tcBorders>
        </w:tcPr>
        <w:p w:rsidR="001C0FFA" w14:paraId="02699B79" w14:textId="77777777">
          <w:pPr>
            <w:spacing w:before="80" w:after="80"/>
            <w:rPr>
              <w:b/>
              <w:lang w:val="de-DE"/>
            </w:rPr>
          </w:pPr>
          <w:r>
            <w:rPr>
              <w:b/>
              <w:color w:val="000080"/>
            </w:rPr>
            <w:fldChar w:fldCharType="begin" w:fldLock="1"/>
          </w:r>
          <w:r>
            <w:rPr>
              <w:b/>
              <w:color w:val="000080"/>
              <w:lang w:val="de-DE"/>
            </w:rPr>
            <w:instrText xml:space="preserve">DOCPROPERTY </w:instrText>
          </w:r>
          <w:r>
            <w:rPr>
              <w:b/>
              <w:color w:val="000080"/>
              <w:lang w:val="de-DE"/>
            </w:rPr>
            <w:instrText>EK_doktittel</w:instrText>
          </w:r>
          <w:r>
            <w:rPr>
              <w:b/>
              <w:color w:val="000080"/>
            </w:rPr>
            <w:fldChar w:fldCharType="separate"/>
          </w:r>
          <w:r>
            <w:rPr>
              <w:b/>
              <w:color w:val="000080"/>
              <w:lang w:val="de-DE"/>
            </w:rPr>
            <w:t>Retningslinje for risikovurdering og risikostyring</w:t>
          </w:r>
          <w:r>
            <w:rPr>
              <w:b/>
              <w:color w:val="000080"/>
            </w:rPr>
            <w:fldChar w:fldCharType="end"/>
          </w:r>
        </w:p>
      </w:tc>
      <w:tc>
        <w:tcPr>
          <w:tcW w:w="1968" w:type="dxa"/>
          <w:gridSpan w:val="2"/>
          <w:tcBorders>
            <w:bottom w:val="nil"/>
          </w:tcBorders>
        </w:tcPr>
        <w:p w:rsidR="001C0FFA" w14:paraId="02699B7A" w14:textId="77777777">
          <w:pPr>
            <w:spacing w:before="80" w:after="80"/>
          </w:pPr>
          <w:r>
            <w:rPr>
              <w:sz w:val="16"/>
              <w:lang w:val="de-DE"/>
            </w:rPr>
            <w:t>Dok.id.</w:t>
          </w:r>
          <w:r>
            <w:rPr>
              <w:sz w:val="16"/>
            </w:rPr>
            <w:t xml:space="preserve">: </w:t>
          </w:r>
          <w:r>
            <w:rPr>
              <w:sz w:val="20"/>
            </w:rPr>
            <w:fldChar w:fldCharType="begin" w:fldLock="1"/>
          </w:r>
          <w:r>
            <w:rPr>
              <w:color w:val="000080"/>
            </w:rPr>
            <w:instrText>DOCPROPERTY EK_Refnr</w:instrText>
          </w:r>
          <w:r>
            <w:rPr>
              <w:sz w:val="20"/>
            </w:rPr>
            <w:fldChar w:fldCharType="separate"/>
          </w:r>
          <w:r>
            <w:rPr>
              <w:color w:val="000080"/>
            </w:rPr>
            <w:t>L-.7.1</w:t>
          </w:r>
          <w:r>
            <w:rPr>
              <w:sz w:val="20"/>
            </w:rPr>
            <w:fldChar w:fldCharType="end"/>
          </w:r>
        </w:p>
      </w:tc>
    </w:tr>
    <w:tr w14:paraId="02699B7E" w14:textId="77777777">
      <w:tblPrEx>
        <w:tblW w:w="0" w:type="auto"/>
        <w:tblInd w:w="70" w:type="dxa"/>
        <w:tblLayout w:type="fixed"/>
        <w:tblCellMar>
          <w:left w:w="70" w:type="dxa"/>
          <w:right w:w="70" w:type="dxa"/>
        </w:tblCellMar>
        <w:tblLook w:val="0000"/>
      </w:tblPrEx>
      <w:tc>
        <w:tcPr>
          <w:tcW w:w="7110" w:type="dxa"/>
          <w:gridSpan w:val="2"/>
          <w:tcBorders>
            <w:left w:val="nil"/>
            <w:bottom w:val="nil"/>
            <w:right w:val="nil"/>
          </w:tcBorders>
        </w:tcPr>
        <w:p w:rsidR="001C0FFA" w14:paraId="02699B7C" w14:textId="77777777">
          <w:pPr>
            <w:spacing w:before="80"/>
            <w:rPr>
              <w:sz w:val="20"/>
            </w:rPr>
          </w:pPr>
        </w:p>
      </w:tc>
      <w:tc>
        <w:tcPr>
          <w:tcW w:w="1962" w:type="dxa"/>
          <w:tcBorders>
            <w:left w:val="nil"/>
            <w:bottom w:val="nil"/>
            <w:right w:val="nil"/>
          </w:tcBorders>
        </w:tcPr>
        <w:p w:rsidR="001C0FFA" w14:paraId="02699B7D" w14:textId="77777777">
          <w:pPr>
            <w:spacing w:before="80"/>
            <w:jc w:val="right"/>
            <w:rPr>
              <w:sz w:val="20"/>
            </w:rPr>
          </w:pPr>
          <w:r>
            <w:rPr>
              <w:sz w:val="20"/>
            </w:rPr>
            <w:t xml:space="preserve">Side   : </w:t>
          </w:r>
          <w:r>
            <w:rPr>
              <w:sz w:val="20"/>
            </w:rPr>
            <w:fldChar w:fldCharType="begin"/>
          </w:r>
          <w:r>
            <w:rPr>
              <w:sz w:val="20"/>
            </w:rPr>
            <w:instrText xml:space="preserve">PAGE </w:instrText>
          </w:r>
          <w:r>
            <w:rPr>
              <w:sz w:val="20"/>
            </w:rPr>
            <w:fldChar w:fldCharType="separate"/>
          </w:r>
          <w:r>
            <w:rPr>
              <w:rFonts w:ascii="Verdana" w:hAnsi="Verdana"/>
              <w:sz w:val="20"/>
              <w:lang w:val="nb-NO" w:eastAsia="nb-NO" w:bidi="ar-SA"/>
            </w:rPr>
            <w:t>5</w:t>
          </w:r>
          <w:r>
            <w:rPr>
              <w:sz w:val="20"/>
            </w:rPr>
            <w:fldChar w:fldCharType="end"/>
          </w:r>
          <w:r>
            <w:rPr>
              <w:sz w:val="20"/>
            </w:rPr>
            <w:t xml:space="preserve"> av </w:t>
          </w:r>
          <w:r>
            <w:rPr>
              <w:sz w:val="20"/>
            </w:rPr>
            <w:fldChar w:fldCharType="begin"/>
          </w:r>
          <w:r>
            <w:rPr>
              <w:sz w:val="20"/>
            </w:rPr>
            <w:instrText>NUMPAGES</w:instrText>
          </w:r>
          <w:r>
            <w:rPr>
              <w:sz w:val="20"/>
            </w:rPr>
            <w:fldChar w:fldCharType="separate"/>
          </w:r>
          <w:r>
            <w:rPr>
              <w:sz w:val="20"/>
            </w:rPr>
            <w:t>5</w:t>
          </w:r>
          <w:r>
            <w:rPr>
              <w:sz w:val="20"/>
            </w:rPr>
            <w:fldChar w:fldCharType="end"/>
          </w:r>
        </w:p>
      </w:tc>
    </w:tr>
  </w:tbl>
  <w:p w:rsidR="001C0FFA" w14:paraId="02699B7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C399C"/>
    <w:multiLevelType w:val="hybridMultilevel"/>
    <w:tmpl w:val="B85656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AB2278"/>
    <w:multiLevelType w:val="multilevel"/>
    <w:tmpl w:val="3A24C0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5D0119F"/>
    <w:multiLevelType w:val="hybridMultilevel"/>
    <w:tmpl w:val="C70462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977930"/>
    <w:multiLevelType w:val="hybridMultilevel"/>
    <w:tmpl w:val="D990FD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D76D42"/>
    <w:multiLevelType w:val="hybridMultilevel"/>
    <w:tmpl w:val="73DC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4F37E2"/>
    <w:multiLevelType w:val="hybridMultilevel"/>
    <w:tmpl w:val="A2924E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4FB51EE"/>
    <w:multiLevelType w:val="multilevel"/>
    <w:tmpl w:val="9C66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56B65"/>
    <w:multiLevelType w:val="hybridMultilevel"/>
    <w:tmpl w:val="B08A53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8B1EAD"/>
    <w:multiLevelType w:val="hybridMultilevel"/>
    <w:tmpl w:val="A9D02736"/>
    <w:lvl w:ilvl="0">
      <w:start w:val="1"/>
      <w:numFmt w:val="decimal"/>
      <w:lvlText w:val="6.%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73B5827"/>
    <w:multiLevelType w:val="hybridMultilevel"/>
    <w:tmpl w:val="225C9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F713832"/>
    <w:multiLevelType w:val="hybridMultilevel"/>
    <w:tmpl w:val="47EC90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4E07C5"/>
    <w:multiLevelType w:val="multilevel"/>
    <w:tmpl w:val="A1E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5933C9"/>
    <w:multiLevelType w:val="hybridMultilevel"/>
    <w:tmpl w:val="2A40629C"/>
    <w:lvl w:ilvl="0">
      <w:start w:val="1"/>
      <w:numFmt w:val="decimal"/>
      <w:lvlText w:val="6.%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0945C9"/>
    <w:multiLevelType w:val="multilevel"/>
    <w:tmpl w:val="F9E2F2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140489323">
    <w:abstractNumId w:val="4"/>
  </w:num>
  <w:num w:numId="2" w16cid:durableId="1829782046">
    <w:abstractNumId w:val="8"/>
  </w:num>
  <w:num w:numId="3" w16cid:durableId="1572885599">
    <w:abstractNumId w:val="2"/>
  </w:num>
  <w:num w:numId="4" w16cid:durableId="393701951">
    <w:abstractNumId w:val="9"/>
  </w:num>
  <w:num w:numId="5" w16cid:durableId="1510482899">
    <w:abstractNumId w:val="0"/>
  </w:num>
  <w:num w:numId="6" w16cid:durableId="940457103">
    <w:abstractNumId w:val="12"/>
  </w:num>
  <w:num w:numId="7" w16cid:durableId="2110466248">
    <w:abstractNumId w:val="7"/>
  </w:num>
  <w:num w:numId="8" w16cid:durableId="531462768">
    <w:abstractNumId w:val="10"/>
  </w:num>
  <w:num w:numId="9" w16cid:durableId="241913457">
    <w:abstractNumId w:val="5"/>
  </w:num>
  <w:num w:numId="10" w16cid:durableId="1027172905">
    <w:abstractNumId w:val="1"/>
  </w:num>
  <w:num w:numId="11" w16cid:durableId="276646311">
    <w:abstractNumId w:val="13"/>
  </w:num>
  <w:num w:numId="12" w16cid:durableId="940649423">
    <w:abstractNumId w:val="6"/>
  </w:num>
  <w:num w:numId="13" w16cid:durableId="524365031">
    <w:abstractNumId w:val="11"/>
  </w:num>
  <w:num w:numId="14" w16cid:durableId="826671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0FFA"/>
    <w:rsid w:val="00015CE9"/>
    <w:rsid w:val="000400F7"/>
    <w:rsid w:val="00052137"/>
    <w:rsid w:val="000602AF"/>
    <w:rsid w:val="00064B5B"/>
    <w:rsid w:val="000E1DDE"/>
    <w:rsid w:val="000F3BF2"/>
    <w:rsid w:val="001009AC"/>
    <w:rsid w:val="001A2ECE"/>
    <w:rsid w:val="001A500E"/>
    <w:rsid w:val="001C0FFA"/>
    <w:rsid w:val="001E047B"/>
    <w:rsid w:val="002646B1"/>
    <w:rsid w:val="00265295"/>
    <w:rsid w:val="00280477"/>
    <w:rsid w:val="003D4093"/>
    <w:rsid w:val="00415440"/>
    <w:rsid w:val="00454B66"/>
    <w:rsid w:val="00473133"/>
    <w:rsid w:val="004A1508"/>
    <w:rsid w:val="004F400D"/>
    <w:rsid w:val="005037FB"/>
    <w:rsid w:val="00560190"/>
    <w:rsid w:val="00580AD8"/>
    <w:rsid w:val="00593ADB"/>
    <w:rsid w:val="00594961"/>
    <w:rsid w:val="005D217C"/>
    <w:rsid w:val="005F7187"/>
    <w:rsid w:val="006458B4"/>
    <w:rsid w:val="00665A4D"/>
    <w:rsid w:val="00671862"/>
    <w:rsid w:val="006729E1"/>
    <w:rsid w:val="006A5740"/>
    <w:rsid w:val="00711F4F"/>
    <w:rsid w:val="00746EB1"/>
    <w:rsid w:val="0075102E"/>
    <w:rsid w:val="00781062"/>
    <w:rsid w:val="0078248A"/>
    <w:rsid w:val="00784455"/>
    <w:rsid w:val="007D26B5"/>
    <w:rsid w:val="00816FE3"/>
    <w:rsid w:val="0084393D"/>
    <w:rsid w:val="00850DD0"/>
    <w:rsid w:val="0087577E"/>
    <w:rsid w:val="00892B8C"/>
    <w:rsid w:val="008A09F7"/>
    <w:rsid w:val="008A772E"/>
    <w:rsid w:val="00912FEC"/>
    <w:rsid w:val="0095797D"/>
    <w:rsid w:val="00994961"/>
    <w:rsid w:val="009F7EB5"/>
    <w:rsid w:val="00A42B73"/>
    <w:rsid w:val="00A768B1"/>
    <w:rsid w:val="00A827C1"/>
    <w:rsid w:val="00A90694"/>
    <w:rsid w:val="00AA3FF6"/>
    <w:rsid w:val="00AF0D36"/>
    <w:rsid w:val="00B34821"/>
    <w:rsid w:val="00B3769A"/>
    <w:rsid w:val="00B44987"/>
    <w:rsid w:val="00B7057B"/>
    <w:rsid w:val="00B74E4F"/>
    <w:rsid w:val="00B84574"/>
    <w:rsid w:val="00B86626"/>
    <w:rsid w:val="00B926C6"/>
    <w:rsid w:val="00B95694"/>
    <w:rsid w:val="00BF4BB1"/>
    <w:rsid w:val="00BF75FB"/>
    <w:rsid w:val="00C80B66"/>
    <w:rsid w:val="00CA0CDF"/>
    <w:rsid w:val="00CC0A69"/>
    <w:rsid w:val="00CC173A"/>
    <w:rsid w:val="00CD5A4D"/>
    <w:rsid w:val="00CF0617"/>
    <w:rsid w:val="00D11A96"/>
    <w:rsid w:val="00D24256"/>
    <w:rsid w:val="00D6432B"/>
    <w:rsid w:val="00D72127"/>
    <w:rsid w:val="00E34F49"/>
    <w:rsid w:val="00E44BC6"/>
    <w:rsid w:val="00F11839"/>
    <w:rsid w:val="00F26C4C"/>
    <w:rsid w:val="00F60869"/>
    <w:rsid w:val="00F65CB0"/>
    <w:rsid w:val="00F9677E"/>
    <w:rsid w:val="00FA5C47"/>
    <w:rsid w:val="00FF57CE"/>
  </w:rsids>
  <w:docVars>
    <w:docVar w:name="Avdeling" w:val="lab_avdeling"/>
    <w:docVar w:name="Avsnitt" w:val="lab_avsnitt"/>
    <w:docVar w:name="Bedriftsnavn" w:val="DEMO - DataKvalitet AS"/>
    <w:docVar w:name="beskyttet" w:val="nei"/>
    <w:docVar w:name="docver" w:val="2.20"/>
    <w:docVar w:name="EksRef" w:val="[EksRef]"/>
    <w:docVar w:name="ek_dbfields" w:val="EK_Avdeling¤2#4¤2#[Avdeling]¤3#EK_Avsnitt¤2#4¤2#[Avsnitt]¤3#EK_Bedriftsnavn¤2#1¤2#TRONDHEIM FAGSKOLE¤3#EK_GjelderFra¤2#0¤2#[GjelderFra]¤3#EK_Opprettet¤2#0¤2#[Opprettet]¤3#EK_Utgitt¤2#0¤2#[Utgitt]¤3#EK_IBrukDato¤2#0¤2#[Endret]¤3#EK_DokumentID¤2#0¤2#[ID]¤3#EK_DokTittel¤2#0¤2#&lt;Ny mal opprettet av JSS&gt;¤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ktittel" w:val="&lt;Ny mal opprettet av JSS&gt;"/>
    <w:docVar w:name="ek_endrfields" w:val="EK_DokTittel¤1#EK_Rapport¤1#"/>
    <w:docVar w:name="ek_format" w:val="-2"/>
    <w:docVar w:name="ek_rapport" w:val="[Tilknyttet rapport]"/>
    <w:docVar w:name="EK_TYPE" w:val="MAL"/>
    <w:docVar w:name="Erstatter" w:val="lab_erstatter"/>
    <w:docVar w:name="KHB" w:val="nei"/>
    <w:docVar w:name="skitten" w:val="0"/>
    <w:docVar w:name="Tittel" w:val="Dette er en Test tittel."/>
  </w:docVars>
  <m:mathPr>
    <m:mathFont m:val="Cambria Math"/>
    <m:wrapRight/>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2699B57"/>
  <w15:docId w15:val="{9FBB40AC-0603-4F54-B465-40540C71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73133"/>
    <w:rPr>
      <w:rFonts w:ascii="Verdana" w:hAnsi="Verdana"/>
      <w:sz w:val="18"/>
    </w:rPr>
  </w:style>
  <w:style w:type="paragraph" w:styleId="Heading1">
    <w:name w:val="heading 1"/>
    <w:basedOn w:val="Normal"/>
    <w:next w:val="Normal"/>
    <w:qFormat/>
    <w:rsid w:val="000E1DDE"/>
    <w:pPr>
      <w:spacing w:before="360"/>
      <w:outlineLvl w:val="0"/>
    </w:pPr>
    <w:rPr>
      <w:b/>
      <w:sz w:val="22"/>
    </w:rPr>
  </w:style>
  <w:style w:type="paragraph" w:styleId="Heading2">
    <w:name w:val="heading 2"/>
    <w:basedOn w:val="Normal"/>
    <w:next w:val="Normal"/>
    <w:qFormat/>
    <w:rsid w:val="007D26B5"/>
    <w:pPr>
      <w:spacing w:before="240" w:after="120"/>
      <w:outlineLvl w:val="1"/>
    </w:pPr>
    <w:rPr>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B86626"/>
    <w:pPr>
      <w:ind w:left="708"/>
    </w:pPr>
  </w:style>
  <w:style w:type="paragraph" w:styleId="NormalWeb">
    <w:name w:val="Normal (Web)"/>
    <w:basedOn w:val="Normal"/>
    <w:uiPriority w:val="99"/>
    <w:unhideWhenUsed/>
    <w:rsid w:val="00711F4F"/>
    <w:pPr>
      <w:spacing w:before="100" w:beforeAutospacing="1" w:after="100" w:afterAutospacing="1"/>
    </w:pPr>
    <w:rPr>
      <w:rFonts w:ascii="Times New Roman" w:hAnsi="Times New Roman"/>
      <w:sz w:val="24"/>
      <w:szCs w:val="24"/>
    </w:rPr>
  </w:style>
  <w:style w:type="character" w:styleId="Strong">
    <w:name w:val="Strong"/>
    <w:uiPriority w:val="22"/>
    <w:qFormat/>
    <w:rsid w:val="00711F4F"/>
    <w:rPr>
      <w:b/>
      <w:bCs/>
    </w:rPr>
  </w:style>
  <w:style w:type="table" w:styleId="TableGrid">
    <w:name w:val="Table Grid"/>
    <w:basedOn w:val="TableNormal"/>
    <w:rsid w:val="00711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IngenmellomromTegn"/>
    <w:uiPriority w:val="1"/>
    <w:qFormat/>
    <w:rsid w:val="00711F4F"/>
    <w:rPr>
      <w:rFonts w:ascii="Calibri" w:eastAsia="Calibri" w:hAnsi="Calibri"/>
      <w:kern w:val="2"/>
      <w:sz w:val="22"/>
      <w:szCs w:val="22"/>
      <w:lang w:eastAsia="en-US"/>
    </w:rPr>
  </w:style>
  <w:style w:type="character" w:customStyle="1" w:styleId="IngenmellomromTegn">
    <w:name w:val="Ingen mellomrom Tegn"/>
    <w:basedOn w:val="DefaultParagraphFont"/>
    <w:link w:val="NoSpacing"/>
    <w:uiPriority w:val="1"/>
    <w:rsid w:val="00711F4F"/>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thyf-ekstern.dkhosting.no/docs/pub/DOK00390.pdf"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ANMI\APPDATA\ROAMING\MICROSOFT\TEMPLATES\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Template>
  <TotalTime>278</TotalTime>
  <Pages>5</Pages>
  <Words>1485</Words>
  <Characters>7875</Characters>
  <Application>Microsoft Office Word</Application>
  <DocSecurity>0</DocSecurity>
  <Lines>65</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Retningslinje for risikovurdering og risikostyring</vt:lpstr>
      <vt:lpstr>	</vt:lpstr>
    </vt:vector>
  </TitlesOfParts>
  <Company>Datakvalitet</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 for risikovurdering og risikostyring</dc:title>
  <dc:subject>&lt;Ny mal opprettet av JSS&gt;|[RefNr]|</dc:subject>
  <dc:creator>Handbok</dc:creator>
  <cp:lastModifiedBy>Rune Wiggen</cp:lastModifiedBy>
  <cp:revision>27</cp:revision>
  <cp:lastPrinted>2024-04-29T13:04:00Z</cp:lastPrinted>
  <dcterms:created xsi:type="dcterms:W3CDTF">2020-01-20T07:07:00Z</dcterms:created>
  <dcterms:modified xsi:type="dcterms:W3CDTF">2025-03-21T13:43:00Z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r_doktype">
    <vt:lpwstr>[Dokumenttype]</vt:lpwstr>
  </property>
  <property fmtid="{D5CDD505-2E9C-101B-9397-08002B2CF9AE}" pid="3" name="EK_Bedriftsnavn">
    <vt:lpwstr>TRØNDELAG HØYERE YRKESFAGSKOLE avd. TRONDHEIM</vt:lpwstr>
  </property>
  <property fmtid="{D5CDD505-2E9C-101B-9397-08002B2CF9AE}" pid="4" name="EK_DokTittel">
    <vt:lpwstr>Retningslinje for risikovurdering og risikostyring</vt:lpwstr>
  </property>
  <property fmtid="{D5CDD505-2E9C-101B-9397-08002B2CF9AE}" pid="5" name="EK_DokType">
    <vt:lpwstr>Retningslinje</vt:lpwstr>
  </property>
  <property fmtid="{D5CDD505-2E9C-101B-9397-08002B2CF9AE}" pid="6" name="EK_EKPrintMerke">
    <vt:lpwstr>Uoffisiell utskrift er kun gyldig på utskriftsdato</vt:lpwstr>
  </property>
  <property fmtid="{D5CDD505-2E9C-101B-9397-08002B2CF9AE}" pid="7" name="EK_GjelderFra">
    <vt:lpwstr>25.02.2025</vt:lpwstr>
  </property>
  <property fmtid="{D5CDD505-2E9C-101B-9397-08002B2CF9AE}" pid="8" name="EK_GjelderTil">
    <vt:lpwstr>25.02.2026</vt:lpwstr>
  </property>
  <property fmtid="{D5CDD505-2E9C-101B-9397-08002B2CF9AE}" pid="9" name="EK_RefNr">
    <vt:lpwstr>L-.7.1</vt:lpwstr>
  </property>
  <property fmtid="{D5CDD505-2E9C-101B-9397-08002B2CF9AE}" pid="10" name="EK_Signatur">
    <vt:lpwstr>Hans Tore Mikkelsen</vt:lpwstr>
  </property>
  <property fmtid="{D5CDD505-2E9C-101B-9397-08002B2CF9AE}" pid="11" name="EK_SkrevetAv">
    <vt:lpwstr>Rune Wiggen</vt:lpwstr>
  </property>
  <property fmtid="{D5CDD505-2E9C-101B-9397-08002B2CF9AE}" pid="12" name="EK_Utgave">
    <vt:lpwstr>1.04</vt:lpwstr>
  </property>
  <property fmtid="{D5CDD505-2E9C-101B-9397-08002B2CF9AE}" pid="13" name="EK_Watermark">
    <vt:lpwstr>[Vannmerke]</vt:lpwstr>
  </property>
  <property fmtid="{D5CDD505-2E9C-101B-9397-08002B2CF9AE}" pid="14" name="XD00390">
    <vt:lpwstr>L-.7.3</vt:lpwstr>
  </property>
  <property fmtid="{D5CDD505-2E9C-101B-9397-08002B2CF9AE}" pid="15" name="XDF00390">
    <vt:lpwstr>Retningslinje for kvalitetskrav til en risikoanalyse</vt:lpwstr>
  </property>
  <property fmtid="{D5CDD505-2E9C-101B-9397-08002B2CF9AE}" pid="16" name="XDL00390">
    <vt:lpwstr>L-.7.3 Retningslinje for kvalitetskrav til en risikoanalyse</vt:lpwstr>
  </property>
  <property fmtid="{D5CDD505-2E9C-101B-9397-08002B2CF9AE}" pid="17" name="XDT00390">
    <vt:lpwstr>Retningslinje for kvalitetskrav til en risikoanalyse</vt:lpwstr>
  </property>
</Properties>
</file>