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0pt;height:36.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P="00D6432B" w14:paraId="6A5E3522" w14:textId="2F59A1C4">
            <w:pPr>
              <w:spacing w:after="120"/>
              <w:rPr>
                <w:sz w:val="16"/>
              </w:rPr>
            </w:pPr>
            <w:r w:rsidRPr="00560190">
              <w:rPr>
                <w:sz w:val="16"/>
              </w:rPr>
              <w:t>Side</w:t>
            </w:r>
            <w:r w:rsidR="00D11A96">
              <w:rPr>
                <w:sz w:val="16"/>
              </w:rPr>
              <w:t>nr.</w:t>
            </w:r>
            <w:r w:rsidRPr="0056019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3</w:t>
            </w:r>
            <w:r w:rsidRPr="00560190">
              <w:rPr>
                <w:szCs w:val="18"/>
              </w:rPr>
              <w:fldChar w:fldCharType="end"/>
            </w:r>
          </w:p>
          <w:p w:rsidR="00052137" w:rsidRPr="00D6432B" w:rsidP="00D6432B" w14:paraId="02699B58" w14:textId="10410778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S-.1.9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Prosedyre for håndtering av kontinuasjonseksamen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Prosedyre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560190" w:rsidP="00D6432B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D6432B" w:rsidRPr="00560190" w:rsidP="00D6432B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1.01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D6432B" w:rsidRPr="00560190" w:rsidP="00D6432B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Adrian N. A. Solberg og Tine Haugen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D6432B" w:rsidRPr="00560190" w:rsidP="00D6432B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24.02.2025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29C84A1B" w14:textId="61E0927A">
            <w:pPr>
              <w:rPr>
                <w:szCs w:val="18"/>
              </w:rPr>
            </w:pPr>
            <w:r w:rsidRPr="00560190">
              <w:rPr>
                <w:sz w:val="16"/>
              </w:rPr>
              <w:t>G</w:t>
            </w:r>
            <w:r>
              <w:rPr>
                <w:sz w:val="16"/>
              </w:rPr>
              <w:t>jelder</w:t>
            </w:r>
            <w:r w:rsidRPr="00560190">
              <w:rPr>
                <w:sz w:val="16"/>
              </w:rPr>
              <w:t xml:space="preserve"> til:</w:t>
            </w:r>
            <w:r>
              <w:rPr>
                <w:sz w:val="16"/>
              </w:rPr>
              <w:t xml:space="preserve"> </w:t>
            </w:r>
          </w:p>
          <w:p w:rsidR="00D6432B" w:rsidRPr="00560190" w:rsidP="00D6432B" w14:paraId="02699B64" w14:textId="03CFBA8A">
            <w:pPr>
              <w:jc w:val="center"/>
              <w:rPr>
                <w:szCs w:val="18"/>
              </w:rPr>
            </w:pPr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24.02.2026</w:t>
            </w:r>
            <w:r w:rsidRPr="00560190"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560190" w:rsidP="00D6432B" w14:paraId="277282C8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D6432B" w:rsidRPr="00560190" w:rsidP="00D6432B" w14:paraId="02699B66" w14:textId="6F0FF2DE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Rune Wiggen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A90694" w:rsidRPr="00A90694" w:rsidP="00B34821" w14:paraId="5A214358" w14:textId="0A6914AC">
      <w:pPr>
        <w:pStyle w:val="Heading1"/>
        <w:numPr>
          <w:ilvl w:val="0"/>
          <w:numId w:val="3"/>
        </w:numPr>
      </w:pPr>
      <w:r w:rsidRPr="009F7EB5">
        <w:t>Formål og omfang</w:t>
      </w:r>
    </w:p>
    <w:p w:rsidR="00B86626" w:rsidP="00CC0A69" w14:paraId="2FE04433" w14:textId="7F9DDE66">
      <w:pPr>
        <w:spacing w:after="120"/>
        <w:ind w:left="426"/>
      </w:pPr>
    </w:p>
    <w:p w:rsidR="003D4175" w:rsidP="00CC0A69" w14:paraId="370E768E" w14:textId="73D529BB">
      <w:pPr>
        <w:spacing w:after="120"/>
        <w:ind w:left="426"/>
      </w:pPr>
      <w:r>
        <w:t xml:space="preserve">En student kan i henhold til §4-5, andre ledd i Forskrift om høyere yrkesfaglig utdanning ved Trøndelag høyere yrkesfagskole, rett til å fremstille seg tre ganger til eksamen i samme emne </w:t>
      </w:r>
      <w:r>
        <w:t>(ordinær eksamen er første forsøk, deretter har studenten to forsøk til).</w:t>
      </w:r>
    </w:p>
    <w:p w:rsidR="00F62889" w:rsidP="00CC0A69" w14:paraId="1BCC2BB1" w14:textId="5A16C849">
      <w:pPr>
        <w:spacing w:after="120"/>
        <w:ind w:left="426"/>
      </w:pPr>
      <w:r w:rsidRPr="00F62889">
        <w:t xml:space="preserve">Formålet med </w:t>
      </w:r>
      <w:r>
        <w:t xml:space="preserve">denne prosedyren </w:t>
      </w:r>
      <w:r w:rsidRPr="00F62889">
        <w:t xml:space="preserve">er å sikre en strukturert og tydelig prosess for søknad, vurdering og oppfølging av kontinuasjonseksamen. </w:t>
      </w:r>
      <w:r>
        <w:t xml:space="preserve">Prosedyren </w:t>
      </w:r>
      <w:r w:rsidRPr="00F62889">
        <w:t>beskriver</w:t>
      </w:r>
      <w:r>
        <w:t xml:space="preserve"> hvem som er ansvarlig for </w:t>
      </w:r>
      <w:r w:rsidR="00EB3C68">
        <w:t xml:space="preserve">ulike deler av prosessen rundt </w:t>
      </w:r>
      <w:r>
        <w:t>kontinuasjons</w:t>
      </w:r>
      <w:r w:rsidR="00565F9E">
        <w:t>e</w:t>
      </w:r>
      <w:r>
        <w:t>ksamen,</w:t>
      </w:r>
      <w:r w:rsidRPr="00F62889">
        <w:t xml:space="preserve"> hvordan en student kan søke om kontinuasjonseksamen, hvordan </w:t>
      </w:r>
      <w:r>
        <w:t>søknaden blir håndtert og hvem som gjør hva underveis i prosessen.</w:t>
      </w:r>
    </w:p>
    <w:p w:rsidR="00B86626" w:rsidRPr="009F7EB5" w:rsidP="00B34821" w14:paraId="3A2F7B45" w14:textId="3BC04E70">
      <w:pPr>
        <w:pStyle w:val="Heading1"/>
        <w:numPr>
          <w:ilvl w:val="0"/>
          <w:numId w:val="3"/>
        </w:numPr>
      </w:pPr>
      <w:r w:rsidRPr="009F7EB5">
        <w:t>Målgruppe</w:t>
      </w:r>
    </w:p>
    <w:p w:rsidR="00B86626" w:rsidP="00CC0A69" w14:paraId="0353A00B" w14:textId="021BCD41">
      <w:pPr>
        <w:spacing w:after="120"/>
        <w:ind w:left="426"/>
      </w:pPr>
    </w:p>
    <w:p w:rsidR="00F62889" w:rsidP="00CC0A69" w14:paraId="1FFDF00B" w14:textId="578004C6">
      <w:pPr>
        <w:spacing w:after="120"/>
        <w:ind w:left="426"/>
      </w:pPr>
      <w:r>
        <w:t>Studieadministrasjonen, Utdanningsledere</w:t>
      </w:r>
      <w:r w:rsidR="00100CC8">
        <w:t xml:space="preserve">, </w:t>
      </w:r>
      <w:r>
        <w:t>Studiestedskoordinatorer</w:t>
      </w:r>
      <w:r w:rsidR="00100CC8">
        <w:t>, Faglærere</w:t>
      </w:r>
    </w:p>
    <w:p w:rsidR="00F62889" w:rsidP="00F62889" w14:paraId="1F0E0229" w14:textId="69FCB158">
      <w:pPr>
        <w:pStyle w:val="Heading1"/>
        <w:numPr>
          <w:ilvl w:val="0"/>
          <w:numId w:val="3"/>
        </w:numPr>
      </w:pPr>
      <w:r>
        <w:t>Forklaring av ord og uttrykk</w:t>
      </w:r>
    </w:p>
    <w:p w:rsidR="00F62889" w:rsidP="00F62889" w14:paraId="386026BD" w14:textId="77777777">
      <w:pPr>
        <w:ind w:left="360"/>
      </w:pPr>
    </w:p>
    <w:p w:rsidR="00F62889" w:rsidP="00F62889" w14:paraId="6009C3F4" w14:textId="39434E8A">
      <w:pPr>
        <w:ind w:left="360"/>
      </w:pPr>
      <w:r>
        <w:t>SA = Studieadministrasjonen</w:t>
      </w:r>
    </w:p>
    <w:p w:rsidR="00F62889" w:rsidP="00F62889" w14:paraId="4A149CE7" w14:textId="2A922003">
      <w:pPr>
        <w:ind w:left="360"/>
      </w:pPr>
      <w:r>
        <w:t>UL = Utdanningsleder</w:t>
      </w:r>
    </w:p>
    <w:p w:rsidR="00F62889" w:rsidP="00F62889" w14:paraId="13FC16EA" w14:textId="05AFDDD3">
      <w:pPr>
        <w:ind w:left="360"/>
      </w:pPr>
      <w:r>
        <w:t>SSK = Studiestedskoordinator</w:t>
      </w:r>
    </w:p>
    <w:p w:rsidR="00F62889" w:rsidP="00F62889" w14:paraId="25DE992E" w14:textId="4718A1DC">
      <w:pPr>
        <w:ind w:left="360"/>
      </w:pPr>
      <w:r>
        <w:t>KE = Kontinuasjonseksamen</w:t>
      </w:r>
    </w:p>
    <w:p w:rsidR="00AC782C" w:rsidP="00F62889" w14:paraId="445D566D" w14:textId="1B65A973">
      <w:pPr>
        <w:ind w:left="360"/>
      </w:pPr>
      <w:r>
        <w:t>UO = Utdanningsområde</w:t>
      </w:r>
    </w:p>
    <w:p w:rsidR="00D17593" w:rsidRPr="00F62889" w:rsidP="00F62889" w14:paraId="72C163C3" w14:textId="71C4BAA8">
      <w:pPr>
        <w:ind w:left="360"/>
      </w:pPr>
      <w:r>
        <w:t>SAS = Studieadministrativt system</w:t>
      </w:r>
    </w:p>
    <w:p w:rsidR="00B86626" w:rsidRPr="009F7EB5" w:rsidP="00CC0A69" w14:paraId="431E085A" w14:textId="7C59F2DE">
      <w:pPr>
        <w:pStyle w:val="Heading1"/>
        <w:numPr>
          <w:ilvl w:val="0"/>
          <w:numId w:val="3"/>
        </w:numPr>
      </w:pPr>
      <w:r w:rsidRPr="009F7EB5">
        <w:t>Ansvar og myndighet</w:t>
      </w:r>
    </w:p>
    <w:p w:rsidR="00A81EB8" w:rsidP="007A6DFF" w14:paraId="1DDA8B38" w14:textId="4EF0CC33">
      <w:pPr>
        <w:spacing w:after="120"/>
        <w:ind w:firstLine="360"/>
      </w:pPr>
      <w:r>
        <w:t xml:space="preserve">SA er </w:t>
      </w:r>
      <w:r>
        <w:t>prosesseier.</w:t>
      </w:r>
    </w:p>
    <w:p w:rsidR="00F62889" w:rsidP="00CC0A69" w14:paraId="4728ACAC" w14:textId="56CC9351">
      <w:pPr>
        <w:spacing w:after="120"/>
        <w:ind w:left="426"/>
      </w:pPr>
      <w:r>
        <w:t xml:space="preserve">SA har ansvar for å </w:t>
      </w:r>
    </w:p>
    <w:p w:rsidR="00F62889" w:rsidP="008D0F02" w14:paraId="5AC8089D" w14:textId="175C6CEC">
      <w:pPr>
        <w:numPr>
          <w:ilvl w:val="0"/>
          <w:numId w:val="18"/>
        </w:numPr>
        <w:spacing w:after="120"/>
      </w:pPr>
      <w:r>
        <w:t>holde prosedyre og søknadsskjema for KE oppdatert</w:t>
      </w:r>
    </w:p>
    <w:p w:rsidR="00F62889" w:rsidP="008D0F02" w14:paraId="44BD5C34" w14:textId="03EAB412">
      <w:pPr>
        <w:numPr>
          <w:ilvl w:val="0"/>
          <w:numId w:val="18"/>
        </w:numPr>
        <w:spacing w:after="120"/>
      </w:pPr>
      <w:r>
        <w:t>administrere søknader fra studenter knyttet til KE</w:t>
      </w:r>
    </w:p>
    <w:p w:rsidR="00AC782C" w:rsidP="008D0F02" w14:paraId="7D7F236A" w14:textId="22A083A9">
      <w:pPr>
        <w:numPr>
          <w:ilvl w:val="0"/>
          <w:numId w:val="18"/>
        </w:numPr>
        <w:spacing w:after="120"/>
      </w:pPr>
      <w:r>
        <w:t>kontrollere at antall forsøk for KE-kandidaten er i henhold til gjeldende lovverk</w:t>
      </w:r>
    </w:p>
    <w:p w:rsidR="00F62889" w:rsidP="00F62889" w14:paraId="60D2CC5E" w14:textId="77777777">
      <w:pPr>
        <w:spacing w:after="120"/>
        <w:ind w:left="786"/>
      </w:pPr>
    </w:p>
    <w:p w:rsidR="00F62889" w:rsidP="00CC0A69" w14:paraId="50E6E77C" w14:textId="1BCEC444">
      <w:pPr>
        <w:spacing w:after="120"/>
        <w:ind w:left="426"/>
      </w:pPr>
      <w:r>
        <w:t>UL har, i samråd med SSK og aktuelle faglærere, ansvar for</w:t>
      </w:r>
      <w:r w:rsidR="00AC782C">
        <w:t xml:space="preserve"> og myndighet til</w:t>
      </w:r>
      <w:r>
        <w:t xml:space="preserve"> å </w:t>
      </w:r>
    </w:p>
    <w:p w:rsidR="00F62889" w:rsidP="008D0F02" w14:paraId="21CD1EEF" w14:textId="131B8C60">
      <w:pPr>
        <w:numPr>
          <w:ilvl w:val="0"/>
          <w:numId w:val="19"/>
        </w:numPr>
        <w:spacing w:after="120"/>
      </w:pPr>
      <w:r>
        <w:t>sette datoer for KE</w:t>
      </w:r>
      <w:r w:rsidR="00AC782C">
        <w:t xml:space="preserve"> innenfor sitt UO</w:t>
      </w:r>
    </w:p>
    <w:p w:rsidR="00F62889" w:rsidP="008D0F02" w14:paraId="43559687" w14:textId="535EBDC3">
      <w:pPr>
        <w:numPr>
          <w:ilvl w:val="0"/>
          <w:numId w:val="19"/>
        </w:numPr>
        <w:spacing w:after="120"/>
      </w:pPr>
      <w:r>
        <w:t>velge ansvarlig faglærer(e) til utarbeidelse av oppgavesett og sensurveiledning for KE</w:t>
      </w:r>
    </w:p>
    <w:p w:rsidR="00FC73AD" w:rsidP="008D0F02" w14:paraId="7E669CE7" w14:textId="558DD02A">
      <w:pPr>
        <w:numPr>
          <w:ilvl w:val="0"/>
          <w:numId w:val="19"/>
        </w:numPr>
        <w:spacing w:after="120"/>
      </w:pPr>
      <w:r>
        <w:t>oppnevne sensorer for KE</w:t>
      </w:r>
    </w:p>
    <w:p w:rsidR="00F62889" w:rsidP="00F62889" w14:paraId="2E4AB5C1" w14:textId="77777777">
      <w:pPr>
        <w:spacing w:after="120"/>
        <w:ind w:left="786"/>
      </w:pPr>
    </w:p>
    <w:p w:rsidR="00F62889" w:rsidP="00F62889" w14:paraId="2216A336" w14:textId="1E8174F3">
      <w:pPr>
        <w:spacing w:after="120"/>
        <w:ind w:left="426"/>
      </w:pPr>
      <w:r>
        <w:t xml:space="preserve">SSK har </w:t>
      </w:r>
      <w:r w:rsidR="00EB3C68">
        <w:t xml:space="preserve">innenfor sitt studiested </w:t>
      </w:r>
      <w:r>
        <w:t>ansvar for å</w:t>
      </w:r>
    </w:p>
    <w:p w:rsidR="00AC782C" w:rsidP="008D0F02" w14:paraId="6D9B1D80" w14:textId="5FC12E23">
      <w:pPr>
        <w:numPr>
          <w:ilvl w:val="0"/>
          <w:numId w:val="20"/>
        </w:numPr>
        <w:spacing w:after="120"/>
      </w:pPr>
      <w:r>
        <w:t>avklare om s</w:t>
      </w:r>
      <w:r w:rsidR="00EB3C68">
        <w:t>tudenten</w:t>
      </w:r>
      <w:r>
        <w:t xml:space="preserve"> er faglig kvalifisert for KE</w:t>
      </w:r>
    </w:p>
    <w:p w:rsidR="00F62889" w:rsidP="008D0F02" w14:paraId="1E605C9C" w14:textId="39CFD797">
      <w:pPr>
        <w:numPr>
          <w:ilvl w:val="0"/>
          <w:numId w:val="20"/>
        </w:numPr>
        <w:spacing w:after="120"/>
      </w:pPr>
      <w:r>
        <w:t xml:space="preserve">registrere </w:t>
      </w:r>
      <w:r w:rsidR="00EB3C68">
        <w:t xml:space="preserve">kvalifiserte studenter og </w:t>
      </w:r>
      <w:r>
        <w:t>oppgavesett i gjeldende eksamensverktøy</w:t>
      </w:r>
    </w:p>
    <w:p w:rsidR="00AC782C" w:rsidP="008D0F02" w14:paraId="34D29DE9" w14:textId="51680D2D">
      <w:pPr>
        <w:numPr>
          <w:ilvl w:val="0"/>
          <w:numId w:val="20"/>
        </w:numPr>
        <w:spacing w:after="120"/>
      </w:pPr>
      <w:r>
        <w:t>booke rom til KE-dag dersom det er behov for det</w:t>
      </w:r>
    </w:p>
    <w:p w:rsidR="00AC782C" w:rsidP="00AC782C" w14:paraId="21B2BF12" w14:textId="48BD13B6">
      <w:pPr>
        <w:numPr>
          <w:ilvl w:val="0"/>
          <w:numId w:val="20"/>
        </w:numPr>
        <w:spacing w:after="120"/>
      </w:pPr>
      <w:r>
        <w:t xml:space="preserve">informere </w:t>
      </w:r>
      <w:r w:rsidR="00EB3C68">
        <w:t>kvalifiserte studenter om</w:t>
      </w:r>
      <w:r>
        <w:t xml:space="preserve"> tid, sted og annen relevant informasjon som er av betydning </w:t>
      </w:r>
      <w:r w:rsidR="00EB3C68">
        <w:t>for studentene</w:t>
      </w:r>
    </w:p>
    <w:p w:rsidR="00F9677E" w:rsidRPr="00F9677E" w:rsidP="00CC0A69" w14:paraId="2A668A33" w14:textId="034F222D">
      <w:pPr>
        <w:pStyle w:val="Heading1"/>
        <w:numPr>
          <w:ilvl w:val="0"/>
          <w:numId w:val="3"/>
        </w:numPr>
      </w:pPr>
      <w:r w:rsidRPr="009F7EB5">
        <w:t>Beskrivelse</w:t>
      </w:r>
    </w:p>
    <w:p w:rsidR="00B86626" w:rsidP="00A42B73" w14:paraId="62ACA4DF" w14:textId="1993E722">
      <w:pPr>
        <w:spacing w:after="120"/>
        <w:ind w:left="426"/>
      </w:pPr>
    </w:p>
    <w:p w:rsidR="00E6107A" w:rsidP="00A42B73" w14:paraId="312B168C" w14:textId="748526AC">
      <w:pPr>
        <w:spacing w:after="120"/>
        <w:ind w:left="426"/>
      </w:pPr>
      <w:r>
        <w:t xml:space="preserve">Det er laget et eget flytskjema som gir bedre oversikt over prosessen: </w:t>
      </w:r>
      <w:hyperlink r:id="rId5" w:history="1">
        <w:r>
          <w:rPr>
            <w:color w:val="0000FF"/>
            <w:u w:val="single"/>
          </w:rPr>
          <w:t>Flytskjema - kontinuasjonseksamen</w:t>
        </w:r>
      </w:hyperlink>
    </w:p>
    <w:p w:rsidR="00EB3C68" w:rsidP="00EB3C68" w14:paraId="26244978" w14:textId="77777777">
      <w:pPr>
        <w:ind w:left="360"/>
        <w:rPr>
          <w:b/>
          <w:bCs/>
        </w:rPr>
      </w:pPr>
    </w:p>
    <w:p w:rsidR="003F40EA" w:rsidP="003F40EA" w14:paraId="2817BEEA" w14:textId="77777777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Plan for kontinuasjonseksamen</w:t>
      </w:r>
    </w:p>
    <w:p w:rsidR="001B5160" w:rsidRPr="001B5160" w:rsidP="003F40EA" w14:paraId="56E08816" w14:textId="408DC628">
      <w:pPr>
        <w:numPr>
          <w:ilvl w:val="1"/>
          <w:numId w:val="14"/>
        </w:numPr>
      </w:pPr>
      <w:r w:rsidRPr="001B5160">
        <w:t xml:space="preserve">Kontinuasjonseksamener skal </w:t>
      </w:r>
      <w:r w:rsidR="00526908">
        <w:t xml:space="preserve">i hovedsak </w:t>
      </w:r>
      <w:r w:rsidRPr="001B5160">
        <w:t>gjennomføres</w:t>
      </w:r>
      <w:r w:rsidR="00526908">
        <w:t xml:space="preserve"> i ordinære eksamensperioder hvert år (desember og mai). </w:t>
      </w:r>
      <w:r w:rsidR="00526908">
        <w:rPr>
          <w:b/>
          <w:bCs/>
        </w:rPr>
        <w:t xml:space="preserve">Unntak: </w:t>
      </w:r>
      <w:r w:rsidR="00526908">
        <w:t>UO Havrommet og Helse og oppvekst, samt hovedprosjektemner</w:t>
      </w:r>
      <w:r>
        <w:t xml:space="preserve"> pga spesielle ordninger.</w:t>
      </w:r>
    </w:p>
    <w:p w:rsidR="003F40EA" w:rsidP="003F40EA" w14:paraId="1EC4FA15" w14:textId="1DDA32EE">
      <w:pPr>
        <w:numPr>
          <w:ilvl w:val="1"/>
          <w:numId w:val="14"/>
        </w:numPr>
        <w:rPr>
          <w:b/>
          <w:bCs/>
        </w:rPr>
      </w:pPr>
      <w:r>
        <w:t>UL lager plan for KE for hvert semester/studieår.</w:t>
      </w:r>
      <w:r w:rsidR="00A81EB8">
        <w:t xml:space="preserve"> </w:t>
      </w:r>
      <w:r w:rsidRPr="008C3067" w:rsidR="00A81EB8">
        <w:rPr>
          <w:b/>
          <w:bCs/>
        </w:rPr>
        <w:t>Frist:</w:t>
      </w:r>
      <w:r w:rsidR="00A81EB8">
        <w:t xml:space="preserve"> </w:t>
      </w:r>
      <w:r w:rsidRPr="008C3067" w:rsidR="008C3067">
        <w:t xml:space="preserve">30. juni </w:t>
      </w:r>
      <w:r w:rsidRPr="008C3067" w:rsidR="00A81EB8">
        <w:t>hvert år.</w:t>
      </w:r>
    </w:p>
    <w:p w:rsidR="00587312" w:rsidRPr="00002FD3" w:rsidP="003F40EA" w14:paraId="19C85572" w14:textId="2DB53157">
      <w:pPr>
        <w:numPr>
          <w:ilvl w:val="1"/>
          <w:numId w:val="14"/>
        </w:numPr>
        <w:rPr>
          <w:b/>
          <w:bCs/>
        </w:rPr>
      </w:pPr>
      <w:r>
        <w:t>Planen sendes til SA som publiserer planen på hjemmesiden</w:t>
      </w:r>
      <w:r w:rsidR="003F40EA">
        <w:t>.</w:t>
      </w:r>
    </w:p>
    <w:p w:rsidR="00002FD3" w:rsidRPr="003F40EA" w:rsidP="003F40EA" w14:paraId="7E94E9D4" w14:textId="62CB304F">
      <w:pPr>
        <w:numPr>
          <w:ilvl w:val="1"/>
          <w:numId w:val="14"/>
        </w:numPr>
        <w:rPr>
          <w:b/>
          <w:bCs/>
        </w:rPr>
      </w:pPr>
      <w:r>
        <w:t>UL skaffer og melder inn sensorer til SA senest 14 dager før KE</w:t>
      </w:r>
      <w:r>
        <w:t>. Se</w:t>
      </w:r>
      <w:r>
        <w:t xml:space="preserve"> </w:t>
      </w:r>
      <w:hyperlink r:id="rId6" w:history="1">
        <w:r w:rsidR="00B156A6">
          <w:rPr>
            <w:color w:val="0000FF"/>
            <w:u w:val="single"/>
          </w:rPr>
          <w:t>Prosedyre for eksamen og sensorhåndtering i THYF</w:t>
        </w:r>
      </w:hyperlink>
      <w:r w:rsidR="00B156A6">
        <w:t>.</w:t>
      </w:r>
    </w:p>
    <w:p w:rsidR="00587312" w:rsidP="00587312" w14:paraId="45867A21" w14:textId="77777777"/>
    <w:p w:rsidR="003F40EA" w:rsidP="003F40EA" w14:paraId="0D483842" w14:textId="77777777">
      <w:pPr>
        <w:numPr>
          <w:ilvl w:val="0"/>
          <w:numId w:val="14"/>
        </w:numPr>
        <w:rPr>
          <w:b/>
          <w:bCs/>
        </w:rPr>
      </w:pPr>
      <w:r w:rsidRPr="00587312">
        <w:rPr>
          <w:b/>
          <w:bCs/>
        </w:rPr>
        <w:t>Mottak av søknad</w:t>
      </w:r>
    </w:p>
    <w:p w:rsidR="003F40EA" w:rsidP="003F40EA" w14:paraId="1AC3E90A" w14:textId="273294EF">
      <w:pPr>
        <w:numPr>
          <w:ilvl w:val="1"/>
          <w:numId w:val="14"/>
        </w:numPr>
        <w:rPr>
          <w:b/>
          <w:bCs/>
        </w:rPr>
      </w:pPr>
      <w:r w:rsidRPr="006C2DB2">
        <w:t xml:space="preserve">Studenten sender søknad om </w:t>
      </w:r>
      <w:r w:rsidR="00587312">
        <w:t>KE</w:t>
      </w:r>
      <w:r w:rsidRPr="006C2DB2">
        <w:t xml:space="preserve"> til</w:t>
      </w:r>
      <w:r>
        <w:t xml:space="preserve"> SA via søknadsskjema på</w:t>
      </w:r>
      <w:r w:rsidR="00587312">
        <w:t xml:space="preserve"> </w:t>
      </w:r>
      <w:r>
        <w:t>hjemmesiden</w:t>
      </w:r>
      <w:r w:rsidR="00A81FAA">
        <w:t>. Frister for søknad er publisert på hjemmesiden vår.</w:t>
      </w:r>
    </w:p>
    <w:p w:rsidR="003F40EA" w:rsidRPr="003F40EA" w:rsidP="003F40EA" w14:paraId="31EAAB50" w14:textId="34D3C3DA">
      <w:pPr>
        <w:numPr>
          <w:ilvl w:val="1"/>
          <w:numId w:val="14"/>
        </w:numPr>
        <w:rPr>
          <w:b/>
          <w:bCs/>
        </w:rPr>
      </w:pPr>
      <w:r>
        <w:t xml:space="preserve">SA registrerer studenten i </w:t>
      </w:r>
      <w:r w:rsidRPr="004942BB">
        <w:t>skjema for</w:t>
      </w:r>
      <w:r w:rsidRPr="003F40EA">
        <w:rPr>
          <w:b/>
          <w:bCs/>
        </w:rPr>
        <w:t xml:space="preserve"> </w:t>
      </w:r>
      <w:r>
        <w:rPr>
          <w:b/>
          <w:bCs/>
        </w:rPr>
        <w:t>B</w:t>
      </w:r>
      <w:r w:rsidRPr="003F40EA">
        <w:rPr>
          <w:b/>
          <w:bCs/>
        </w:rPr>
        <w:t>ehandlede søknader</w:t>
      </w:r>
      <w:r>
        <w:rPr>
          <w:b/>
          <w:bCs/>
        </w:rPr>
        <w:t xml:space="preserve"> og forespørsler </w:t>
      </w:r>
      <w:r>
        <w:t>på Teams</w:t>
      </w:r>
      <w:r w:rsidRPr="003F40EA">
        <w:rPr>
          <w:b/>
          <w:bCs/>
        </w:rPr>
        <w:t xml:space="preserve">. </w:t>
      </w:r>
      <w:r>
        <w:t xml:space="preserve">Skjemaet skal inneholde: </w:t>
      </w:r>
    </w:p>
    <w:p w:rsidR="003F40EA" w:rsidP="003F40EA" w14:paraId="75AAAF75" w14:textId="77777777">
      <w:pPr>
        <w:numPr>
          <w:ilvl w:val="2"/>
          <w:numId w:val="14"/>
        </w:numPr>
        <w:rPr>
          <w:b/>
          <w:bCs/>
        </w:rPr>
      </w:pPr>
      <w:r>
        <w:t>emnekode og -navn</w:t>
      </w:r>
    </w:p>
    <w:p w:rsidR="003F40EA" w:rsidP="003F40EA" w14:paraId="64115D4F" w14:textId="77777777">
      <w:pPr>
        <w:numPr>
          <w:ilvl w:val="2"/>
          <w:numId w:val="14"/>
        </w:numPr>
        <w:rPr>
          <w:b/>
          <w:bCs/>
        </w:rPr>
      </w:pPr>
      <w:r>
        <w:t>studentens navn</w:t>
      </w:r>
    </w:p>
    <w:p w:rsidR="003F40EA" w:rsidP="003F40EA" w14:paraId="7CBE70DB" w14:textId="77777777">
      <w:pPr>
        <w:numPr>
          <w:ilvl w:val="2"/>
          <w:numId w:val="14"/>
        </w:numPr>
        <w:rPr>
          <w:b/>
          <w:bCs/>
        </w:rPr>
      </w:pPr>
      <w:r>
        <w:t>navn på ansvarlig SSK</w:t>
      </w:r>
    </w:p>
    <w:p w:rsidR="003F40EA" w:rsidP="003F40EA" w14:paraId="31507796" w14:textId="4B2624FE">
      <w:pPr>
        <w:numPr>
          <w:ilvl w:val="2"/>
          <w:numId w:val="14"/>
        </w:numPr>
        <w:rPr>
          <w:b/>
          <w:bCs/>
        </w:rPr>
      </w:pPr>
      <w:r>
        <w:t>dato KE skal gjennomføres (ingen registrering inntil dato er avklart)</w:t>
      </w:r>
    </w:p>
    <w:p w:rsidR="00134CC0" w:rsidRPr="00A81FAA" w:rsidP="003F40EA" w14:paraId="08486948" w14:textId="2AE1BE5B">
      <w:pPr>
        <w:numPr>
          <w:ilvl w:val="2"/>
          <w:numId w:val="14"/>
        </w:numPr>
        <w:rPr>
          <w:b/>
          <w:bCs/>
        </w:rPr>
      </w:pPr>
      <w:r>
        <w:t>status (i</w:t>
      </w:r>
      <w:r w:rsidR="005D37F2">
        <w:t xml:space="preserve">nntil studentens kvalifikasjon er uavklart registreres status </w:t>
      </w:r>
      <w:r w:rsidRPr="003F40EA" w:rsidR="005D37F2">
        <w:rPr>
          <w:u w:val="single"/>
        </w:rPr>
        <w:t>Under behandling</w:t>
      </w:r>
      <w:r w:rsidRPr="003F40EA">
        <w:rPr>
          <w:u w:val="single"/>
        </w:rPr>
        <w:t>)</w:t>
      </w:r>
    </w:p>
    <w:p w:rsidR="00A81FAA" w:rsidRPr="003F40EA" w:rsidP="00A81FAA" w14:paraId="6B136230" w14:textId="5E615EA6">
      <w:pPr>
        <w:numPr>
          <w:ilvl w:val="1"/>
          <w:numId w:val="14"/>
        </w:numPr>
        <w:rPr>
          <w:b/>
          <w:bCs/>
        </w:rPr>
      </w:pPr>
      <w:r w:rsidRPr="00F83696">
        <w:rPr>
          <w:b/>
          <w:bCs/>
        </w:rPr>
        <w:t>Frist for vurdering av og svar på søknad</w:t>
      </w:r>
      <w:r w:rsidRPr="0099635F">
        <w:t>:</w:t>
      </w:r>
      <w:r>
        <w:t xml:space="preserve"> </w:t>
      </w:r>
      <w:r w:rsidRPr="008C3067">
        <w:t>14 dager</w:t>
      </w:r>
      <w:r>
        <w:rPr>
          <w:b/>
          <w:bCs/>
        </w:rPr>
        <w:t xml:space="preserve"> </w:t>
      </w:r>
      <w:r>
        <w:t>fra mottatt søknad</w:t>
      </w:r>
    </w:p>
    <w:p w:rsidR="00587312" w:rsidRPr="00587312" w:rsidP="00587312" w14:paraId="37990EAD" w14:textId="77777777">
      <w:pPr>
        <w:ind w:left="1418"/>
        <w:rPr>
          <w:b/>
          <w:bCs/>
        </w:rPr>
      </w:pPr>
    </w:p>
    <w:p w:rsidR="003F40EA" w:rsidP="003F40EA" w14:paraId="4E820C77" w14:textId="77777777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Vurdering</w:t>
      </w:r>
      <w:r w:rsidRPr="00587312" w:rsidR="00C133E7">
        <w:rPr>
          <w:b/>
          <w:bCs/>
        </w:rPr>
        <w:t xml:space="preserve"> av søknad</w:t>
      </w:r>
    </w:p>
    <w:p w:rsidR="0012728A" w:rsidP="0012728A" w14:paraId="5BAD3AC6" w14:textId="77777777">
      <w:pPr>
        <w:numPr>
          <w:ilvl w:val="1"/>
          <w:numId w:val="14"/>
        </w:numPr>
        <w:rPr>
          <w:b/>
          <w:bCs/>
        </w:rPr>
      </w:pPr>
      <w:r>
        <w:t>SA</w:t>
      </w:r>
      <w:r w:rsidR="00526908">
        <w:t xml:space="preserve"> sjekker at studenten ikke har brukt opp antall forsøk i henhold til gjeldende lovverk (kan sjekkes i gjeldende SAS- eller eksamenssystem).</w:t>
      </w:r>
    </w:p>
    <w:p w:rsidR="0012728A" w:rsidRPr="0012728A" w:rsidP="0012728A" w14:paraId="71B8A97F" w14:textId="77777777">
      <w:pPr>
        <w:numPr>
          <w:ilvl w:val="1"/>
          <w:numId w:val="14"/>
        </w:numPr>
        <w:rPr>
          <w:b/>
          <w:bCs/>
        </w:rPr>
      </w:pPr>
      <w:r>
        <w:t xml:space="preserve">Dersom studenten har brukt opp antall forsøk: </w:t>
      </w:r>
    </w:p>
    <w:p w:rsidR="00526908" w:rsidRPr="0012728A" w:rsidP="0012728A" w14:paraId="00CA3CD7" w14:textId="1FB4AF60">
      <w:pPr>
        <w:numPr>
          <w:ilvl w:val="2"/>
          <w:numId w:val="14"/>
        </w:numPr>
        <w:rPr>
          <w:b/>
          <w:bCs/>
        </w:rPr>
      </w:pPr>
      <w:r>
        <w:t>SA sender studenten avslag på søknad i gjeldende arkivsystem</w:t>
      </w:r>
      <w:r w:rsidR="0012728A">
        <w:t>.</w:t>
      </w:r>
    </w:p>
    <w:p w:rsidR="0012728A" w:rsidRPr="0012728A" w:rsidP="0012728A" w14:paraId="0595D7D8" w14:textId="77777777">
      <w:pPr>
        <w:numPr>
          <w:ilvl w:val="1"/>
          <w:numId w:val="14"/>
        </w:numPr>
        <w:rPr>
          <w:b/>
          <w:bCs/>
        </w:rPr>
      </w:pPr>
      <w:r>
        <w:t xml:space="preserve">Dersom studenten har flere forsøk igjen: </w:t>
      </w:r>
    </w:p>
    <w:p w:rsidR="0012728A" w:rsidP="0012728A" w14:paraId="06B89463" w14:textId="72216112">
      <w:pPr>
        <w:numPr>
          <w:ilvl w:val="2"/>
          <w:numId w:val="14"/>
        </w:numPr>
        <w:rPr>
          <w:b/>
          <w:bCs/>
        </w:rPr>
      </w:pPr>
      <w:r>
        <w:t>SA omfordeler søknad til ansvarlig SSK i gjeldende arkivsystem.</w:t>
      </w:r>
    </w:p>
    <w:p w:rsidR="00134CC0" w:rsidRPr="00A84FDB" w:rsidP="002A77FB" w14:paraId="44806B10" w14:textId="7FD8FED3">
      <w:pPr>
        <w:numPr>
          <w:ilvl w:val="2"/>
          <w:numId w:val="14"/>
        </w:numPr>
        <w:rPr>
          <w:b/>
          <w:bCs/>
        </w:rPr>
      </w:pPr>
      <w:r>
        <w:t xml:space="preserve">SSK </w:t>
      </w:r>
      <w:r w:rsidR="000B70AE">
        <w:t xml:space="preserve">sender søknad tilbake til SA i gjeldende arkivsystem med merknad </w:t>
      </w:r>
      <w:r w:rsidRPr="003F40EA" w:rsidR="000B70AE">
        <w:rPr>
          <w:i/>
          <w:iCs/>
        </w:rPr>
        <w:t>kvalifisert/ikke kvalifisert</w:t>
      </w:r>
      <w:r w:rsidR="000B70AE">
        <w:rPr>
          <w:i/>
          <w:iCs/>
        </w:rPr>
        <w:t xml:space="preserve"> </w:t>
      </w:r>
      <w:r w:rsidR="000B70AE">
        <w:t xml:space="preserve">og </w:t>
      </w:r>
      <w:r w:rsidRPr="00F37595" w:rsidR="000B70AE">
        <w:rPr>
          <w:i/>
          <w:iCs/>
        </w:rPr>
        <w:t>dato for KE</w:t>
      </w:r>
      <w:r w:rsidR="000B70AE">
        <w:t>.</w:t>
      </w:r>
    </w:p>
    <w:p w:rsidR="00134CC0" w:rsidP="00134CC0" w14:paraId="217FF578" w14:textId="77777777">
      <w:pPr>
        <w:ind w:left="1506"/>
        <w:rPr>
          <w:b/>
          <w:bCs/>
        </w:rPr>
      </w:pPr>
    </w:p>
    <w:p w:rsidR="00A81FAA" w:rsidRPr="00A81FAA" w:rsidP="00A81FAA" w14:paraId="3A52F7BF" w14:textId="10DB379B">
      <w:pPr>
        <w:numPr>
          <w:ilvl w:val="0"/>
          <w:numId w:val="14"/>
        </w:numPr>
        <w:rPr>
          <w:b/>
          <w:bCs/>
        </w:rPr>
      </w:pPr>
      <w:r>
        <w:rPr>
          <w:b/>
          <w:bCs/>
        </w:rPr>
        <w:t>Svar på søknad</w:t>
      </w:r>
    </w:p>
    <w:p w:rsidR="003F40EA" w:rsidP="003F40EA" w14:paraId="3BE5946E" w14:textId="5A884F31">
      <w:pPr>
        <w:numPr>
          <w:ilvl w:val="1"/>
          <w:numId w:val="14"/>
        </w:numPr>
        <w:rPr>
          <w:b/>
          <w:bCs/>
        </w:rPr>
      </w:pPr>
      <w:r>
        <w:t xml:space="preserve">SA sender studenten </w:t>
      </w:r>
      <w:r w:rsidR="00DC21FA">
        <w:t>vedtak via arkivsystemet</w:t>
      </w:r>
      <w:r>
        <w:t xml:space="preserve"> i henhold til avklaring med SSK</w:t>
      </w:r>
      <w:r w:rsidR="00246AB5">
        <w:t>, vedtaket skal inneholde følgende:</w:t>
      </w:r>
    </w:p>
    <w:p w:rsidR="003F40EA" w:rsidP="003F40EA" w14:paraId="634AC063" w14:textId="49D1F624">
      <w:pPr>
        <w:numPr>
          <w:ilvl w:val="2"/>
          <w:numId w:val="14"/>
        </w:numPr>
        <w:rPr>
          <w:b/>
          <w:bCs/>
        </w:rPr>
      </w:pPr>
      <w:r w:rsidRPr="006C2DB2">
        <w:t>Opplysning om at</w:t>
      </w:r>
      <w:r w:rsidR="00246AB5">
        <w:t xml:space="preserve"> studenten enten er kvalifisert eller ikke kvalifisert</w:t>
      </w:r>
      <w:r w:rsidRPr="006C2DB2">
        <w:t xml:space="preserve"> for </w:t>
      </w:r>
      <w:r w:rsidR="00246AB5">
        <w:t>KE</w:t>
      </w:r>
      <w:r w:rsidR="00C3131F">
        <w:t xml:space="preserve"> med begrunnelse.</w:t>
      </w:r>
    </w:p>
    <w:p w:rsidR="003F40EA" w:rsidP="003F40EA" w14:paraId="62169484" w14:textId="5E78920C">
      <w:pPr>
        <w:numPr>
          <w:ilvl w:val="2"/>
          <w:numId w:val="14"/>
        </w:numPr>
        <w:rPr>
          <w:b/>
          <w:bCs/>
        </w:rPr>
      </w:pPr>
      <w:r>
        <w:t xml:space="preserve">Informasjon om tidspunkt for KE dersom det er avklart, </w:t>
      </w:r>
      <w:r w:rsidR="004E1901">
        <w:t>hvis</w:t>
      </w:r>
      <w:r>
        <w:t xml:space="preserve"> ikke gis informasjon om hvem studenten må ta kontakt med for informasjon om gjennomføring av KE.</w:t>
      </w:r>
    </w:p>
    <w:p w:rsidR="003F40EA" w:rsidP="003F40EA" w14:paraId="62F26C76" w14:textId="5287C5DA">
      <w:pPr>
        <w:numPr>
          <w:ilvl w:val="2"/>
          <w:numId w:val="14"/>
        </w:numPr>
        <w:rPr>
          <w:b/>
          <w:bCs/>
        </w:rPr>
      </w:pPr>
      <w:r w:rsidRPr="006C2DB2">
        <w:t>Kontaktinformasjon dersom studenten har spørsmål</w:t>
      </w:r>
      <w:r>
        <w:t>.</w:t>
      </w:r>
    </w:p>
    <w:p w:rsidR="003F40EA" w:rsidP="003F40EA" w14:paraId="5A8EA840" w14:textId="2FEC71F7">
      <w:pPr>
        <w:numPr>
          <w:ilvl w:val="2"/>
          <w:numId w:val="14"/>
        </w:numPr>
        <w:rPr>
          <w:b/>
          <w:bCs/>
        </w:rPr>
      </w:pPr>
      <w:r>
        <w:t>S</w:t>
      </w:r>
      <w:r w:rsidR="00246AB5">
        <w:t>SK</w:t>
      </w:r>
      <w:r w:rsidRPr="006C2DB2">
        <w:t xml:space="preserve"> </w:t>
      </w:r>
      <w:r>
        <w:t xml:space="preserve">settes </w:t>
      </w:r>
      <w:r w:rsidRPr="006C2DB2">
        <w:t>på kopi</w:t>
      </w:r>
      <w:r>
        <w:t>.</w:t>
      </w:r>
    </w:p>
    <w:p w:rsidR="00651895" w:rsidP="003F40EA" w14:paraId="28C35010" w14:textId="4B47FAF3">
      <w:pPr>
        <w:numPr>
          <w:ilvl w:val="1"/>
          <w:numId w:val="14"/>
        </w:numPr>
        <w:rPr>
          <w:b/>
          <w:bCs/>
        </w:rPr>
      </w:pPr>
      <w:r>
        <w:t xml:space="preserve">SA </w:t>
      </w:r>
      <w:r w:rsidR="00FF3733">
        <w:t xml:space="preserve">oppdaterer </w:t>
      </w:r>
      <w:r w:rsidRPr="004942BB" w:rsidR="00DC21FA">
        <w:t>skjema for</w:t>
      </w:r>
      <w:r w:rsidRPr="003F40EA" w:rsidR="00DC21FA">
        <w:rPr>
          <w:b/>
          <w:bCs/>
        </w:rPr>
        <w:t xml:space="preserve"> </w:t>
      </w:r>
      <w:r>
        <w:rPr>
          <w:b/>
          <w:bCs/>
        </w:rPr>
        <w:t>B</w:t>
      </w:r>
      <w:r w:rsidRPr="003F40EA" w:rsidR="00DC21FA">
        <w:rPr>
          <w:b/>
          <w:bCs/>
        </w:rPr>
        <w:t>ehandlede søknader</w:t>
      </w:r>
      <w:r>
        <w:rPr>
          <w:b/>
          <w:bCs/>
        </w:rPr>
        <w:t xml:space="preserve"> og forespørsler</w:t>
      </w:r>
      <w:r w:rsidR="00DC21FA">
        <w:t xml:space="preserve"> i henhold til vedtak</w:t>
      </w:r>
    </w:p>
    <w:p w:rsidR="009371F7" w:rsidRPr="00651895" w:rsidP="00651895" w14:paraId="61F100F8" w14:textId="144BA42C">
      <w:pPr>
        <w:numPr>
          <w:ilvl w:val="2"/>
          <w:numId w:val="14"/>
        </w:numPr>
        <w:rPr>
          <w:b/>
          <w:bCs/>
        </w:rPr>
      </w:pPr>
      <w:r w:rsidRPr="00651895">
        <w:t xml:space="preserve">kvalifisert </w:t>
      </w:r>
      <w:r>
        <w:t xml:space="preserve">eller </w:t>
      </w:r>
      <w:r w:rsidRPr="00651895">
        <w:t>ikke kvalifisert</w:t>
      </w:r>
    </w:p>
    <w:p w:rsidR="00651895" w:rsidRPr="003F40EA" w:rsidP="00651895" w14:paraId="75411AEE" w14:textId="729A6488">
      <w:pPr>
        <w:numPr>
          <w:ilvl w:val="2"/>
          <w:numId w:val="14"/>
        </w:numPr>
        <w:rPr>
          <w:b/>
          <w:bCs/>
        </w:rPr>
      </w:pPr>
      <w:r>
        <w:t>dato for KE</w:t>
      </w:r>
    </w:p>
    <w:p w:rsidR="009371F7" w:rsidP="009371F7" w14:paraId="3EE0D8A6" w14:textId="77777777">
      <w:pPr>
        <w:ind w:left="2340"/>
        <w:rPr>
          <w:b/>
          <w:bCs/>
        </w:rPr>
      </w:pPr>
    </w:p>
    <w:p w:rsidR="00EB3C68" w:rsidRPr="009371F7" w:rsidP="009371F7" w14:paraId="5C45F915" w14:textId="419A9272">
      <w:pPr>
        <w:numPr>
          <w:ilvl w:val="0"/>
          <w:numId w:val="14"/>
        </w:numPr>
        <w:rPr>
          <w:b/>
          <w:bCs/>
        </w:rPr>
      </w:pPr>
      <w:r w:rsidRPr="009371F7">
        <w:rPr>
          <w:b/>
          <w:bCs/>
        </w:rPr>
        <w:t>Oppfølging</w:t>
      </w:r>
      <w:r w:rsidRPr="009371F7" w:rsidR="000D4577">
        <w:rPr>
          <w:b/>
          <w:bCs/>
        </w:rPr>
        <w:t xml:space="preserve"> og gjennomføring av kontinuasjonseksamen</w:t>
      </w:r>
    </w:p>
    <w:p w:rsidR="004E1901" w:rsidP="005D37F2" w14:paraId="5605B5B6" w14:textId="1C671747">
      <w:pPr>
        <w:numPr>
          <w:ilvl w:val="0"/>
          <w:numId w:val="21"/>
        </w:numPr>
        <w:ind w:hanging="357"/>
      </w:pPr>
      <w:r w:rsidRPr="006C2DB2">
        <w:t>S</w:t>
      </w:r>
      <w:r w:rsidR="00246AB5">
        <w:t>SK</w:t>
      </w:r>
      <w:r w:rsidRPr="006C2DB2">
        <w:t xml:space="preserve"> sørger for at studenten holdes oppdatert og får nødvendig informasjon om </w:t>
      </w:r>
      <w:r>
        <w:t>KE</w:t>
      </w:r>
      <w:r w:rsidRPr="006C2DB2">
        <w:t xml:space="preserve"> og eventuelle krav for deltakelse</w:t>
      </w:r>
      <w:r w:rsidR="003F40EA">
        <w:t>.</w:t>
      </w:r>
    </w:p>
    <w:p w:rsidR="00574189" w:rsidP="005D37F2" w14:paraId="76FA359C" w14:textId="7D474B8F">
      <w:pPr>
        <w:numPr>
          <w:ilvl w:val="0"/>
          <w:numId w:val="21"/>
        </w:numPr>
        <w:ind w:hanging="357"/>
      </w:pPr>
      <w:r>
        <w:t>SSK</w:t>
      </w:r>
      <w:r w:rsidR="00C133E7">
        <w:t xml:space="preserve"> </w:t>
      </w:r>
      <w:r>
        <w:t>legger student</w:t>
      </w:r>
      <w:r w:rsidR="00D17593">
        <w:t>en og sensorer</w:t>
      </w:r>
      <w:r>
        <w:t xml:space="preserve"> inn i</w:t>
      </w:r>
      <w:r w:rsidR="00C133E7">
        <w:t xml:space="preserve"> inn i </w:t>
      </w:r>
      <w:r>
        <w:t>gjeldende eksamenssystem</w:t>
      </w:r>
      <w:r w:rsidR="003F40EA">
        <w:t>.</w:t>
      </w:r>
      <w:r w:rsidR="00FF3733">
        <w:t xml:space="preserve"> </w:t>
      </w:r>
      <w:r w:rsidRPr="000B70AE" w:rsidR="00FF3733">
        <w:rPr>
          <w:b/>
          <w:bCs/>
        </w:rPr>
        <w:t>Unntak:</w:t>
      </w:r>
      <w:r w:rsidR="00FF3733">
        <w:t xml:space="preserve"> </w:t>
      </w:r>
      <w:r w:rsidRPr="000B70AE" w:rsidR="00FF3733">
        <w:t>SA gjør dette for LØM</w:t>
      </w:r>
      <w:r w:rsidRPr="000B70AE" w:rsidR="00A81EB8">
        <w:t xml:space="preserve"> fordi emnet gjelder studenter som går på flere studiesteder.</w:t>
      </w:r>
    </w:p>
    <w:p w:rsidR="009371F7" w:rsidP="009371F7" w14:paraId="52C6F7AA" w14:textId="7FDA1F86">
      <w:pPr>
        <w:numPr>
          <w:ilvl w:val="0"/>
          <w:numId w:val="21"/>
        </w:numPr>
        <w:ind w:hanging="357"/>
      </w:pPr>
      <w:r w:rsidRPr="006C2DB2">
        <w:t xml:space="preserve">Ved behov sørger </w:t>
      </w:r>
      <w:r w:rsidR="00246AB5">
        <w:t>SSK</w:t>
      </w:r>
      <w:r w:rsidRPr="006C2DB2">
        <w:t xml:space="preserve"> for dialog mellom </w:t>
      </w:r>
      <w:r w:rsidR="00246AB5">
        <w:t>SA</w:t>
      </w:r>
      <w:r w:rsidRPr="006C2DB2">
        <w:t>, faglærer og studenten for ytterligere avklaringer</w:t>
      </w:r>
      <w:r w:rsidR="003F40EA">
        <w:t>.</w:t>
      </w:r>
    </w:p>
    <w:p w:rsidR="009371F7" w:rsidP="009371F7" w14:paraId="32CF14F2" w14:textId="77777777">
      <w:pPr>
        <w:ind w:left="1429"/>
      </w:pPr>
    </w:p>
    <w:p w:rsidR="004E1901" w:rsidRPr="009371F7" w:rsidP="009371F7" w14:paraId="3907DD13" w14:textId="3EA37403">
      <w:pPr>
        <w:numPr>
          <w:ilvl w:val="0"/>
          <w:numId w:val="14"/>
        </w:numPr>
        <w:rPr>
          <w:b/>
          <w:bCs/>
        </w:rPr>
      </w:pPr>
      <w:r w:rsidRPr="009371F7">
        <w:rPr>
          <w:b/>
          <w:bCs/>
        </w:rPr>
        <w:t xml:space="preserve">Etter </w:t>
      </w:r>
      <w:r w:rsidR="000F4C64">
        <w:rPr>
          <w:b/>
          <w:bCs/>
        </w:rPr>
        <w:t xml:space="preserve">gjennomført </w:t>
      </w:r>
      <w:r w:rsidRPr="009371F7">
        <w:rPr>
          <w:b/>
          <w:bCs/>
        </w:rPr>
        <w:t>kontinuasjonseksamen</w:t>
      </w:r>
    </w:p>
    <w:p w:rsidR="004E1901" w:rsidRPr="00D17593" w:rsidP="009371F7" w14:paraId="07954FD1" w14:textId="04CCDB5A">
      <w:pPr>
        <w:numPr>
          <w:ilvl w:val="1"/>
          <w:numId w:val="14"/>
        </w:numPr>
        <w:rPr>
          <w:b/>
          <w:bCs/>
        </w:rPr>
      </w:pPr>
      <w:r>
        <w:t>Sensorer registrerer karakter</w:t>
      </w:r>
      <w:r w:rsidR="003F40EA">
        <w:t xml:space="preserve"> i gjeldene eksamenssystem.</w:t>
      </w:r>
    </w:p>
    <w:p w:rsidR="00D17593" w:rsidRPr="003F40EA" w:rsidP="009371F7" w14:paraId="61BCD291" w14:textId="54D705B5">
      <w:pPr>
        <w:numPr>
          <w:ilvl w:val="1"/>
          <w:numId w:val="14"/>
        </w:numPr>
        <w:rPr>
          <w:b/>
          <w:bCs/>
        </w:rPr>
      </w:pPr>
      <w:r>
        <w:t xml:space="preserve">SSK sørger for at endelig emnekarakter blir registrert i SAS i henhold til gjeldende retningslinjer for </w:t>
      </w:r>
      <w:r w:rsidR="003F40EA">
        <w:t>karakter</w:t>
      </w:r>
      <w:r>
        <w:t>registrering</w:t>
      </w:r>
      <w:r w:rsidR="003F40EA">
        <w:t>.</w:t>
      </w:r>
      <w:r>
        <w:t xml:space="preserve"> </w:t>
      </w:r>
      <w:r w:rsidRPr="00A930B7">
        <w:rPr>
          <w:b/>
          <w:bCs/>
        </w:rPr>
        <w:t>Unntak:</w:t>
      </w:r>
      <w:r>
        <w:t xml:space="preserve"> SA gjør dette for LØM fordi emnet omfatter studenter ved flere studiesteder.</w:t>
      </w:r>
    </w:p>
    <w:p w:rsidR="003F40EA" w:rsidRPr="004E1901" w:rsidP="003F40EA" w14:paraId="2C0DCB10" w14:textId="77777777">
      <w:pPr>
        <w:ind w:left="1855"/>
        <w:rPr>
          <w:b/>
          <w:bCs/>
        </w:rPr>
      </w:pPr>
    </w:p>
    <w:p w:rsidR="00B86626" w:rsidRPr="009F7EB5" w:rsidP="009371F7" w14:paraId="1ED6C585" w14:textId="39E4876C">
      <w:pPr>
        <w:pStyle w:val="Heading1"/>
        <w:numPr>
          <w:ilvl w:val="0"/>
          <w:numId w:val="3"/>
        </w:numPr>
      </w:pPr>
      <w:r w:rsidRPr="009F7EB5">
        <w:t>Referanser</w:t>
      </w:r>
    </w:p>
    <w:p w:rsidR="00A42B73" w:rsidP="00A42B73" w14:paraId="67FECD11" w14:textId="77777777">
      <w:pPr>
        <w:spacing w:after="120"/>
        <w:ind w:left="426"/>
      </w:pPr>
      <w:r w:rsidRPr="00F9677E">
        <w:rPr>
          <w:i/>
          <w:iCs/>
        </w:rPr>
        <w:t>Kryssreferanser</w:t>
      </w:r>
      <w:r>
        <w:t xml:space="preserve"> henviser til dokumenter som finnes i THYFs ledelsessystem. </w:t>
      </w:r>
      <w:r w:rsidRPr="00F65CB0">
        <w:rPr>
          <w:i/>
          <w:iCs/>
        </w:rPr>
        <w:t>Eksterne referanser</w:t>
      </w:r>
      <w:r>
        <w:t xml:space="preserve"> henviser til dokumenter som ligger tilgjengelig utenfor ledelsessystemet.</w:t>
      </w:r>
    </w:p>
    <w:p w:rsidR="009F7EB5" w:rsidRPr="00574189" w:rsidP="00574189" w14:paraId="259E6A4C" w14:textId="01A9FD8F">
      <w:pPr>
        <w:spacing w:after="120"/>
        <w:ind w:left="426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1C0FFA" w:rsidRPr="007D26B5" w:rsidP="000E1DDE" w14:paraId="02699B6D" w14:textId="77777777">
      <w:pPr>
        <w:pStyle w:val="Heading2"/>
        <w:numPr>
          <w:ilvl w:val="0"/>
          <w:numId w:val="6"/>
        </w:numPr>
        <w:ind w:left="851" w:hanging="491"/>
      </w:pPr>
      <w:r w:rsidRPr="007D26B5"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2322"/>
        <w:gridCol w:w="6965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741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bookmarkStart w:id="1" w:name="EK_Referanse"/>
            <w:hyperlink r:id="rId7" w:history="1">
              <w:r>
                <w:rPr>
                  <w:b w:val="0"/>
                  <w:color w:val="0000FF"/>
                  <w:u w:val="single"/>
                </w:rPr>
                <w:t>S-.1.10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741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7" w:history="1">
              <w:r>
                <w:rPr>
                  <w:b w:val="0"/>
                  <w:color w:val="0000FF"/>
                  <w:u w:val="single"/>
                </w:rPr>
                <w:t>Flytskjema - kontinuasjonseksamen</w:t>
              </w:r>
            </w:hyperlink>
          </w:p>
        </w:tc>
      </w:tr>
      <w:tr>
        <w:tblPrEx>
          <w:tblW w:w="5000" w:type="pct"/>
          <w:tblCellMar>
            <w:left w:w="108" w:type="dxa"/>
            <w:right w:w="108" w:type="dxa"/>
          </w:tblCellMar>
        </w:tblPrEx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:rsidP="005741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5.27</w:t>
              </w:r>
            </w:hyperlink>
          </w:p>
        </w:tc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574189">
            <w:pPr>
              <w:numPr>
                <w:ilvl w:val="0"/>
                <w:numId w:val="0"/>
              </w:numPr>
              <w:rPr>
                <w:b w:val="0"/>
                <w:color w:val="0000FF"/>
                <w:u w:val="single"/>
              </w:rPr>
            </w:pPr>
            <w:hyperlink r:id="rId8" w:history="1">
              <w:r>
                <w:rPr>
                  <w:b w:val="0"/>
                  <w:color w:val="0000FF"/>
                  <w:u w:val="single"/>
                </w:rPr>
                <w:t>Prosedyre for eksamen og sensorhåndtering i THYF</w:t>
              </w:r>
            </w:hyperlink>
          </w:p>
        </w:tc>
      </w:tr>
    </w:tbl>
    <w:p w:rsidR="00671862" w:rsidP="00574189" w14:paraId="3F009015" w14:textId="77777777">
      <w:pPr>
        <w:rPr>
          <w:b/>
          <w:bCs/>
          <w:szCs w:val="18"/>
        </w:rPr>
      </w:pPr>
      <w:bookmarkEnd w:id="1"/>
    </w:p>
    <w:p w:rsidR="001C0FFA" w:rsidRPr="00CF0617" w:rsidP="000E1DDE" w14:paraId="02699B72" w14:textId="3BEAEFDC">
      <w:pPr>
        <w:pStyle w:val="Heading2"/>
        <w:numPr>
          <w:ilvl w:val="0"/>
          <w:numId w:val="6"/>
        </w:numPr>
        <w:ind w:left="851" w:hanging="491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750" w:type="pct"/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hyperlink r:id="rId9" w:history="1">
              <w:r>
                <w:rPr>
                  <w:b w:val="0"/>
                  <w:color w:val="0000FF"/>
                  <w:u w:val="single"/>
                </w:rPr>
                <w:t>1.2.2.3 FOR-2021-06-30-2379 Forskrift om høyere yrkesfaglig utdanning ved Trøndelag høyere yrkesfagskole</w:t>
              </w:r>
            </w:hyperlink>
          </w:p>
        </w:tc>
      </w:tr>
    </w:tbl>
    <w:p w:rsidR="001C0FFA" w:rsidRPr="00CF0617" w:rsidP="007D26B5" w14:paraId="02699B76" w14:textId="77777777">
      <w:pPr>
        <w:ind w:left="284"/>
        <w:rPr>
          <w:szCs w:val="18"/>
        </w:rPr>
      </w:pPr>
      <w:bookmarkEnd w:id="2"/>
    </w:p>
    <w:p w:rsidR="001C0FFA" w:rsidRPr="00CF0617" w14:paraId="02699B77" w14:textId="1DEEDB98">
      <w:pPr>
        <w:rPr>
          <w:szCs w:val="18"/>
        </w:rPr>
      </w:pPr>
    </w:p>
    <w:sectPr>
      <w:headerReference w:type="default" r:id="rId10"/>
      <w:footerReference w:type="first" r:id="rId11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45729CBF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24.03.2025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Prosedyre for håndtering av kontinuasjonseksamen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S-.1.9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3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3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A2CE4"/>
    <w:multiLevelType w:val="hybridMultilevel"/>
    <w:tmpl w:val="D6E46796"/>
    <w:lvl w:ilvl="0">
      <w:start w:val="1"/>
      <w:numFmt w:val="lowerLetter"/>
      <w:lvlText w:val="%1."/>
      <w:lvlJc w:val="left"/>
      <w:pPr>
        <w:ind w:left="1506" w:hanging="360"/>
      </w:pPr>
      <w:rPr>
        <w:rFonts w:hint="default"/>
        <w:b w:val="0"/>
        <w:bCs w:val="0"/>
      </w:rPr>
    </w:lvl>
    <w:lvl w:ilvl="1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4C35BCC"/>
    <w:multiLevelType w:val="multilevel"/>
    <w:tmpl w:val="499685B8"/>
    <w:lvl w:ilvl="0">
      <w:start w:val="1"/>
      <w:numFmt w:val="lowerLetter"/>
      <w:lvlText w:val="%1."/>
      <w:lvlJc w:val="left"/>
      <w:pPr>
        <w:tabs>
          <w:tab w:val="num" w:pos="1429"/>
        </w:tabs>
        <w:ind w:left="1429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09"/>
        </w:tabs>
        <w:ind w:left="430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69"/>
        </w:tabs>
        <w:ind w:left="646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  <w:sz w:val="20"/>
      </w:rPr>
    </w:lvl>
  </w:abstractNum>
  <w:abstractNum w:abstractNumId="3">
    <w:nsid w:val="0D120E74"/>
    <w:multiLevelType w:val="multilevel"/>
    <w:tmpl w:val="52E45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D0119F"/>
    <w:multiLevelType w:val="hybridMultilevel"/>
    <w:tmpl w:val="2BF829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DB49C1"/>
    <w:multiLevelType w:val="hybridMultilevel"/>
    <w:tmpl w:val="AAF63630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226C3BB7"/>
    <w:multiLevelType w:val="hybridMultilevel"/>
    <w:tmpl w:val="3EB4DABC"/>
    <w:lvl w:ilvl="0">
      <w:start w:val="3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>
    <w:nsid w:val="236230F1"/>
    <w:multiLevelType w:val="hybridMultilevel"/>
    <w:tmpl w:val="D236EFA0"/>
    <w:lvl w:ilvl="0">
      <w:start w:val="1"/>
      <w:numFmt w:val="lowerLetter"/>
      <w:lvlText w:val="%1."/>
      <w:lvlJc w:val="left"/>
      <w:pPr>
        <w:ind w:left="177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498" w:hanging="360"/>
      </w:pPr>
    </w:lvl>
    <w:lvl w:ilvl="2" w:tentative="1">
      <w:start w:val="1"/>
      <w:numFmt w:val="lowerRoman"/>
      <w:lvlText w:val="%3."/>
      <w:lvlJc w:val="right"/>
      <w:pPr>
        <w:ind w:left="3218" w:hanging="180"/>
      </w:pPr>
    </w:lvl>
    <w:lvl w:ilvl="3" w:tentative="1">
      <w:start w:val="1"/>
      <w:numFmt w:val="decimal"/>
      <w:lvlText w:val="%4."/>
      <w:lvlJc w:val="left"/>
      <w:pPr>
        <w:ind w:left="3938" w:hanging="360"/>
      </w:pPr>
    </w:lvl>
    <w:lvl w:ilvl="4" w:tentative="1">
      <w:start w:val="1"/>
      <w:numFmt w:val="lowerLetter"/>
      <w:lvlText w:val="%5."/>
      <w:lvlJc w:val="left"/>
      <w:pPr>
        <w:ind w:left="4658" w:hanging="360"/>
      </w:pPr>
    </w:lvl>
    <w:lvl w:ilvl="5" w:tentative="1">
      <w:start w:val="1"/>
      <w:numFmt w:val="lowerRoman"/>
      <w:lvlText w:val="%6."/>
      <w:lvlJc w:val="right"/>
      <w:pPr>
        <w:ind w:left="5378" w:hanging="180"/>
      </w:pPr>
    </w:lvl>
    <w:lvl w:ilvl="6" w:tentative="1">
      <w:start w:val="1"/>
      <w:numFmt w:val="decimal"/>
      <w:lvlText w:val="%7."/>
      <w:lvlJc w:val="left"/>
      <w:pPr>
        <w:ind w:left="6098" w:hanging="360"/>
      </w:pPr>
    </w:lvl>
    <w:lvl w:ilvl="7" w:tentative="1">
      <w:start w:val="1"/>
      <w:numFmt w:val="lowerLetter"/>
      <w:lvlText w:val="%8."/>
      <w:lvlJc w:val="left"/>
      <w:pPr>
        <w:ind w:left="6818" w:hanging="360"/>
      </w:pPr>
    </w:lvl>
    <w:lvl w:ilvl="8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>
    <w:nsid w:val="287952EC"/>
    <w:multiLevelType w:val="hybridMultilevel"/>
    <w:tmpl w:val="C546BC2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B27ADE"/>
    <w:multiLevelType w:val="hybridMultilevel"/>
    <w:tmpl w:val="3BD4AA5C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3FA1469D"/>
    <w:multiLevelType w:val="multilevel"/>
    <w:tmpl w:val="7276A73E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2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37324E8"/>
    <w:multiLevelType w:val="multilevel"/>
    <w:tmpl w:val="3F3AE7F6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5">
    <w:nsid w:val="5E122360"/>
    <w:multiLevelType w:val="multilevel"/>
    <w:tmpl w:val="ACC8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3213777"/>
    <w:multiLevelType w:val="multilevel"/>
    <w:tmpl w:val="2A706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96BDA"/>
    <w:multiLevelType w:val="hybridMultilevel"/>
    <w:tmpl w:val="02B069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55" w:hanging="360"/>
      </w:pPr>
      <w:rPr>
        <w:b w:val="0"/>
        <w:bCs w:val="0"/>
      </w:rPr>
    </w:lvl>
    <w:lvl w:ilvl="2">
      <w:start w:val="1"/>
      <w:numFmt w:val="lowerRoman"/>
      <w:lvlText w:val="%3."/>
      <w:lvlJc w:val="right"/>
      <w:pPr>
        <w:ind w:left="2689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BD0C49"/>
    <w:multiLevelType w:val="hybridMultilevel"/>
    <w:tmpl w:val="B9A6CCF8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>
    <w:nsid w:val="71DF3A4E"/>
    <w:multiLevelType w:val="hybridMultilevel"/>
    <w:tmpl w:val="282458DE"/>
    <w:lvl w:ilvl="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>
    <w:nsid w:val="79FE6249"/>
    <w:multiLevelType w:val="hybridMultilevel"/>
    <w:tmpl w:val="283E4B1C"/>
    <w:lvl w:ilvl="0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 w16cid:durableId="2140489323">
    <w:abstractNumId w:val="9"/>
  </w:num>
  <w:num w:numId="2" w16cid:durableId="1829782046">
    <w:abstractNumId w:val="12"/>
  </w:num>
  <w:num w:numId="3" w16cid:durableId="1572885599">
    <w:abstractNumId w:val="4"/>
  </w:num>
  <w:num w:numId="4" w16cid:durableId="393701951">
    <w:abstractNumId w:val="13"/>
  </w:num>
  <w:num w:numId="5" w16cid:durableId="1510482899">
    <w:abstractNumId w:val="0"/>
  </w:num>
  <w:num w:numId="6" w16cid:durableId="940457103">
    <w:abstractNumId w:val="18"/>
  </w:num>
  <w:num w:numId="7" w16cid:durableId="242692185">
    <w:abstractNumId w:val="6"/>
  </w:num>
  <w:num w:numId="8" w16cid:durableId="1150050679">
    <w:abstractNumId w:val="11"/>
  </w:num>
  <w:num w:numId="9" w16cid:durableId="1151823472">
    <w:abstractNumId w:val="14"/>
  </w:num>
  <w:num w:numId="10" w16cid:durableId="1030717157">
    <w:abstractNumId w:val="3"/>
  </w:num>
  <w:num w:numId="11" w16cid:durableId="1306157508">
    <w:abstractNumId w:val="16"/>
  </w:num>
  <w:num w:numId="12" w16cid:durableId="1362054854">
    <w:abstractNumId w:val="15"/>
  </w:num>
  <w:num w:numId="13" w16cid:durableId="240141824">
    <w:abstractNumId w:val="8"/>
  </w:num>
  <w:num w:numId="14" w16cid:durableId="1940599284">
    <w:abstractNumId w:val="17"/>
  </w:num>
  <w:num w:numId="15" w16cid:durableId="626088418">
    <w:abstractNumId w:val="1"/>
  </w:num>
  <w:num w:numId="16" w16cid:durableId="292172086">
    <w:abstractNumId w:val="20"/>
  </w:num>
  <w:num w:numId="17" w16cid:durableId="1883900543">
    <w:abstractNumId w:val="19"/>
  </w:num>
  <w:num w:numId="18" w16cid:durableId="820392301">
    <w:abstractNumId w:val="5"/>
  </w:num>
  <w:num w:numId="19" w16cid:durableId="2020740113">
    <w:abstractNumId w:val="10"/>
  </w:num>
  <w:num w:numId="20" w16cid:durableId="1662462054">
    <w:abstractNumId w:val="21"/>
  </w:num>
  <w:num w:numId="21" w16cid:durableId="1695032429">
    <w:abstractNumId w:val="2"/>
  </w:num>
  <w:num w:numId="22" w16cid:durableId="14587169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02FD3"/>
    <w:rsid w:val="00015CE9"/>
    <w:rsid w:val="00023002"/>
    <w:rsid w:val="00033262"/>
    <w:rsid w:val="000400F7"/>
    <w:rsid w:val="00052137"/>
    <w:rsid w:val="00064B5B"/>
    <w:rsid w:val="000A66FE"/>
    <w:rsid w:val="000B70AE"/>
    <w:rsid w:val="000D4577"/>
    <w:rsid w:val="000E1DDE"/>
    <w:rsid w:val="000E527C"/>
    <w:rsid w:val="000F3BF2"/>
    <w:rsid w:val="000F4C64"/>
    <w:rsid w:val="001009AC"/>
    <w:rsid w:val="00100CC8"/>
    <w:rsid w:val="0011464C"/>
    <w:rsid w:val="0012728A"/>
    <w:rsid w:val="00134CC0"/>
    <w:rsid w:val="00173834"/>
    <w:rsid w:val="001A2ECE"/>
    <w:rsid w:val="001A500E"/>
    <w:rsid w:val="001B5160"/>
    <w:rsid w:val="001C0FFA"/>
    <w:rsid w:val="001E047B"/>
    <w:rsid w:val="001E0B5E"/>
    <w:rsid w:val="00246AB5"/>
    <w:rsid w:val="002646B1"/>
    <w:rsid w:val="00280477"/>
    <w:rsid w:val="002A77FB"/>
    <w:rsid w:val="002E4F2A"/>
    <w:rsid w:val="003D4093"/>
    <w:rsid w:val="003D4175"/>
    <w:rsid w:val="003F40EA"/>
    <w:rsid w:val="00414263"/>
    <w:rsid w:val="00415440"/>
    <w:rsid w:val="00454B66"/>
    <w:rsid w:val="0046020F"/>
    <w:rsid w:val="00473133"/>
    <w:rsid w:val="004942BB"/>
    <w:rsid w:val="00494D86"/>
    <w:rsid w:val="004961FC"/>
    <w:rsid w:val="004A1508"/>
    <w:rsid w:val="004C5F4A"/>
    <w:rsid w:val="004E1901"/>
    <w:rsid w:val="004F136B"/>
    <w:rsid w:val="004F400D"/>
    <w:rsid w:val="005037FB"/>
    <w:rsid w:val="00526908"/>
    <w:rsid w:val="00560190"/>
    <w:rsid w:val="00565F9E"/>
    <w:rsid w:val="00574189"/>
    <w:rsid w:val="00587312"/>
    <w:rsid w:val="00593ADB"/>
    <w:rsid w:val="005B717E"/>
    <w:rsid w:val="005D217C"/>
    <w:rsid w:val="005D37F2"/>
    <w:rsid w:val="005F7187"/>
    <w:rsid w:val="006128BE"/>
    <w:rsid w:val="006160AF"/>
    <w:rsid w:val="006458B4"/>
    <w:rsid w:val="00651895"/>
    <w:rsid w:val="00665A4D"/>
    <w:rsid w:val="00671862"/>
    <w:rsid w:val="006C2DB2"/>
    <w:rsid w:val="006C5674"/>
    <w:rsid w:val="00710679"/>
    <w:rsid w:val="007472C6"/>
    <w:rsid w:val="0075102E"/>
    <w:rsid w:val="007535D8"/>
    <w:rsid w:val="00781062"/>
    <w:rsid w:val="00784455"/>
    <w:rsid w:val="00790BEB"/>
    <w:rsid w:val="007A6DFF"/>
    <w:rsid w:val="007D26B5"/>
    <w:rsid w:val="00816FE3"/>
    <w:rsid w:val="00851EF0"/>
    <w:rsid w:val="0087577E"/>
    <w:rsid w:val="008A09F7"/>
    <w:rsid w:val="008A6533"/>
    <w:rsid w:val="008C3067"/>
    <w:rsid w:val="008D0F02"/>
    <w:rsid w:val="008D7182"/>
    <w:rsid w:val="008F2B30"/>
    <w:rsid w:val="008F542B"/>
    <w:rsid w:val="00912FEC"/>
    <w:rsid w:val="00925614"/>
    <w:rsid w:val="00932F86"/>
    <w:rsid w:val="009371F7"/>
    <w:rsid w:val="0095797D"/>
    <w:rsid w:val="0099635F"/>
    <w:rsid w:val="009B3E18"/>
    <w:rsid w:val="009F7EB5"/>
    <w:rsid w:val="00A42B73"/>
    <w:rsid w:val="00A6778A"/>
    <w:rsid w:val="00A768B1"/>
    <w:rsid w:val="00A8187B"/>
    <w:rsid w:val="00A81EB8"/>
    <w:rsid w:val="00A81FAA"/>
    <w:rsid w:val="00A827C1"/>
    <w:rsid w:val="00A84FDB"/>
    <w:rsid w:val="00A90694"/>
    <w:rsid w:val="00A930B7"/>
    <w:rsid w:val="00AB5CA6"/>
    <w:rsid w:val="00AC782C"/>
    <w:rsid w:val="00B156A6"/>
    <w:rsid w:val="00B212F6"/>
    <w:rsid w:val="00B34821"/>
    <w:rsid w:val="00B3769A"/>
    <w:rsid w:val="00B74E4F"/>
    <w:rsid w:val="00B84574"/>
    <w:rsid w:val="00B86626"/>
    <w:rsid w:val="00B926C6"/>
    <w:rsid w:val="00B95694"/>
    <w:rsid w:val="00BB279D"/>
    <w:rsid w:val="00BF75FB"/>
    <w:rsid w:val="00C133E7"/>
    <w:rsid w:val="00C3131F"/>
    <w:rsid w:val="00C40DA9"/>
    <w:rsid w:val="00C64FBD"/>
    <w:rsid w:val="00C802CC"/>
    <w:rsid w:val="00CB0FCA"/>
    <w:rsid w:val="00CC0A69"/>
    <w:rsid w:val="00CC173A"/>
    <w:rsid w:val="00CD5A4D"/>
    <w:rsid w:val="00CF0617"/>
    <w:rsid w:val="00D11A96"/>
    <w:rsid w:val="00D17593"/>
    <w:rsid w:val="00D24256"/>
    <w:rsid w:val="00D6432B"/>
    <w:rsid w:val="00D72127"/>
    <w:rsid w:val="00DC21FA"/>
    <w:rsid w:val="00E33124"/>
    <w:rsid w:val="00E34F49"/>
    <w:rsid w:val="00E6107A"/>
    <w:rsid w:val="00E73456"/>
    <w:rsid w:val="00E83167"/>
    <w:rsid w:val="00EB3C68"/>
    <w:rsid w:val="00F075ED"/>
    <w:rsid w:val="00F11839"/>
    <w:rsid w:val="00F26C4C"/>
    <w:rsid w:val="00F37595"/>
    <w:rsid w:val="00F50639"/>
    <w:rsid w:val="00F62889"/>
    <w:rsid w:val="00F65CB0"/>
    <w:rsid w:val="00F83696"/>
    <w:rsid w:val="00F9677E"/>
    <w:rsid w:val="00FA5C47"/>
    <w:rsid w:val="00FC73AD"/>
    <w:rsid w:val="00FF3733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925614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thyf.dkhosting.no/docs/pub/dok00389.htm" TargetMode="External" /><Relationship Id="rId6" Type="http://schemas.openxmlformats.org/officeDocument/2006/relationships/hyperlink" Target="https://thyf.dkhosting.no/docs/pub/dok00316.htm" TargetMode="External" /><Relationship Id="rId7" Type="http://schemas.openxmlformats.org/officeDocument/2006/relationships/hyperlink" Target="https://thyf-ekstern.dkhosting.no/docs/pub/dok00389.htm" TargetMode="External" /><Relationship Id="rId8" Type="http://schemas.openxmlformats.org/officeDocument/2006/relationships/hyperlink" Target="https://thyf-ekstern.dkhosting.no/docs/pub/dok00316.htm" TargetMode="External" /><Relationship Id="rId9" Type="http://schemas.openxmlformats.org/officeDocument/2006/relationships/hyperlink" Target="https://lovdata.no/dokument/SF/forskrift/2021-06-30-2379?q=forskrift%20om%20h%C3%B8yere%20yrkesfaglig%20utdanning" TargetMode="Externa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1685</TotalTime>
  <Pages>3</Pages>
  <Words>1003</Words>
  <Characters>5318</Characters>
  <Application>Microsoft Office Word</Application>
  <DocSecurity>0</DocSecurity>
  <Lines>44</Lines>
  <Paragraphs>12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håndtering av kontinuasjonseksamen</vt:lpstr>
      <vt:lpstr>	</vt:lpstr>
    </vt:vector>
  </TitlesOfParts>
  <Company>Datakvalitet</Company>
  <LinksUpToDate>false</LinksUpToDate>
  <CharactersWithSpaces>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håndtering av kontinuasjonseksamen</dc:title>
  <dc:subject>&lt;Ny mal opprettet av JSS&gt;|[RefNr]|</dc:subject>
  <dc:creator>Handbok</dc:creator>
  <cp:lastModifiedBy>Tine Haugen</cp:lastModifiedBy>
  <cp:revision>67</cp:revision>
  <cp:lastPrinted>2024-04-29T13:04:00Z</cp:lastPrinted>
  <dcterms:created xsi:type="dcterms:W3CDTF">2020-01-20T07:07:00Z</dcterms:created>
  <dcterms:modified xsi:type="dcterms:W3CDTF">2025-02-24T21:15:00Z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Prosedyre for håndtering av kontinuasjonseksamen</vt:lpwstr>
  </property>
  <property fmtid="{D5CDD505-2E9C-101B-9397-08002B2CF9AE}" pid="5" name="EK_DokType">
    <vt:lpwstr>Prosedyre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24.02.2025</vt:lpwstr>
  </property>
  <property fmtid="{D5CDD505-2E9C-101B-9397-08002B2CF9AE}" pid="8" name="EK_GjelderTil">
    <vt:lpwstr>24.02.2026</vt:lpwstr>
  </property>
  <property fmtid="{D5CDD505-2E9C-101B-9397-08002B2CF9AE}" pid="9" name="EK_RefNr">
    <vt:lpwstr>S-.1.9</vt:lpwstr>
  </property>
  <property fmtid="{D5CDD505-2E9C-101B-9397-08002B2CF9AE}" pid="10" name="EK_Signatur">
    <vt:lpwstr>Rune Wiggen</vt:lpwstr>
  </property>
  <property fmtid="{D5CDD505-2E9C-101B-9397-08002B2CF9AE}" pid="11" name="EK_SkrevetAv">
    <vt:lpwstr>Adrian N. A. Solberg og Tine Haugen</vt:lpwstr>
  </property>
  <property fmtid="{D5CDD505-2E9C-101B-9397-08002B2CF9AE}" pid="12" name="EK_Utgave">
    <vt:lpwstr>1.01</vt:lpwstr>
  </property>
  <property fmtid="{D5CDD505-2E9C-101B-9397-08002B2CF9AE}" pid="13" name="EK_Watermark">
    <vt:lpwstr>[Vannmerke]</vt:lpwstr>
  </property>
  <property fmtid="{D5CDD505-2E9C-101B-9397-08002B2CF9AE}" pid="14" name="XD00316">
    <vt:lpwstr>5.27</vt:lpwstr>
  </property>
  <property fmtid="{D5CDD505-2E9C-101B-9397-08002B2CF9AE}" pid="15" name="XD00389">
    <vt:lpwstr>S-.1.10</vt:lpwstr>
  </property>
  <property fmtid="{D5CDD505-2E9C-101B-9397-08002B2CF9AE}" pid="16" name="XDF00316">
    <vt:lpwstr>Prosedyre for eksamen og sensorhåndtering i THYF</vt:lpwstr>
  </property>
  <property fmtid="{D5CDD505-2E9C-101B-9397-08002B2CF9AE}" pid="17" name="XDF00389">
    <vt:lpwstr>Flytskjema - kontinuasjonseksamen</vt:lpwstr>
  </property>
  <property fmtid="{D5CDD505-2E9C-101B-9397-08002B2CF9AE}" pid="18" name="XDL00316">
    <vt:lpwstr>5.27 Prosedyre for eksamen og sensorhåndtering i THYF</vt:lpwstr>
  </property>
  <property fmtid="{D5CDD505-2E9C-101B-9397-08002B2CF9AE}" pid="19" name="XDL00389">
    <vt:lpwstr>S-.1.10 Flytskjema - kontinuasjonseksamen</vt:lpwstr>
  </property>
  <property fmtid="{D5CDD505-2E9C-101B-9397-08002B2CF9AE}" pid="20" name="XDT00316">
    <vt:lpwstr>Prosedyre for eksamen og sensorhåndtering i THYF</vt:lpwstr>
  </property>
  <property fmtid="{D5CDD505-2E9C-101B-9397-08002B2CF9AE}" pid="21" name="XDT00389">
    <vt:lpwstr>Flytskjema - kontinuasjonseksamen</vt:lpwstr>
  </property>
  <property fmtid="{D5CDD505-2E9C-101B-9397-08002B2CF9AE}" pid="22" name="XR00163">
    <vt:lpwstr>1.2.2.3</vt:lpwstr>
  </property>
  <property fmtid="{D5CDD505-2E9C-101B-9397-08002B2CF9AE}" pid="23" name="XRF00163">
    <vt:lpwstr>FOR-2021-06-30-2379 Forskrift om høyere yrkesfaglig utdanning ved Trøndelag høyere yrkesfagskole</vt:lpwstr>
  </property>
  <property fmtid="{D5CDD505-2E9C-101B-9397-08002B2CF9AE}" pid="24" name="XRL00163">
    <vt:lpwstr>1.2.2.3 FOR-2021-06-30-2379 Forskrift om høyere yrkesfaglig utdanning ved Trøndelag høyere yrkesfagskole</vt:lpwstr>
  </property>
  <property fmtid="{D5CDD505-2E9C-101B-9397-08002B2CF9AE}" pid="25" name="XRT00163">
    <vt:lpwstr>FOR-2021-06-30-2379 Forskrift om høyere yrkesfaglig utdanning ved Trøndelag høyere yrkesfagskole</vt:lpwstr>
  </property>
</Properties>
</file>