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1559"/>
        <w:gridCol w:w="709"/>
        <w:gridCol w:w="2268"/>
      </w:tblGrid>
      <w:tr w14:paraId="02699B59" w14:textId="77777777" w:rsidTr="00560190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964"/>
        </w:trPr>
        <w:tc>
          <w:tcPr>
            <w:tcW w:w="6946" w:type="dxa"/>
            <w:gridSpan w:val="5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:rsidP="00F65CB0" w14:paraId="02699B57" w14:textId="3FF06DE1">
            <w:pPr>
              <w:spacing w:before="120" w:after="120"/>
              <w:rPr>
                <w:rFonts w:ascii="Oswald" w:hAnsi="Oswald"/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36.75pt">
                  <v:imagedata r:id="rId6" o:title="Logo THYF" croptop="5730f"/>
                </v:shape>
              </w:pic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6432B" w:rsidP="00D6432B" w14:paraId="6A5E3522" w14:textId="2F59A1C4">
            <w:pPr>
              <w:spacing w:after="120"/>
              <w:rPr>
                <w:sz w:val="16"/>
              </w:rPr>
            </w:pPr>
            <w:r w:rsidRPr="00560190">
              <w:rPr>
                <w:sz w:val="16"/>
              </w:rPr>
              <w:t>Side</w:t>
            </w:r>
            <w:r w:rsidR="00D11A96">
              <w:rPr>
                <w:sz w:val="16"/>
              </w:rPr>
              <w:t>nr.</w:t>
            </w:r>
            <w:r w:rsidRPr="00560190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560190">
              <w:rPr>
                <w:szCs w:val="18"/>
              </w:rPr>
              <w:fldChar w:fldCharType="begin"/>
            </w:r>
            <w:r w:rsidRPr="00560190">
              <w:rPr>
                <w:szCs w:val="18"/>
              </w:rPr>
              <w:instrText xml:space="preserve">PAGE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1</w:t>
            </w:r>
            <w:r w:rsidRPr="00560190">
              <w:rPr>
                <w:szCs w:val="18"/>
              </w:rPr>
              <w:fldChar w:fldCharType="end"/>
            </w:r>
            <w:r w:rsidRPr="00560190">
              <w:rPr>
                <w:szCs w:val="18"/>
              </w:rPr>
              <w:t xml:space="preserve"> av </w:t>
            </w:r>
            <w:r w:rsidRPr="00560190">
              <w:rPr>
                <w:szCs w:val="18"/>
              </w:rPr>
              <w:fldChar w:fldCharType="begin"/>
            </w:r>
            <w:r w:rsidRPr="00560190">
              <w:rPr>
                <w:szCs w:val="18"/>
              </w:rPr>
              <w:instrText>NUMPAGES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3</w:t>
            </w:r>
            <w:r w:rsidRPr="00560190">
              <w:rPr>
                <w:szCs w:val="18"/>
              </w:rPr>
              <w:fldChar w:fldCharType="end"/>
            </w:r>
          </w:p>
          <w:p w:rsidR="00052137" w:rsidRPr="00D6432B" w:rsidP="00D6432B" w14:paraId="02699B58" w14:textId="10410778">
            <w:pPr>
              <w:spacing w:before="120"/>
              <w:rPr>
                <w:sz w:val="20"/>
              </w:rPr>
            </w:pPr>
            <w:r w:rsidRPr="00560190">
              <w:rPr>
                <w:sz w:val="16"/>
              </w:rPr>
              <w:t>Dok.id.:</w:t>
            </w:r>
            <w:r w:rsidRPr="00CF0617">
              <w:rPr>
                <w:sz w:val="16"/>
              </w:rPr>
              <w:t xml:space="preserve"> </w:t>
            </w:r>
            <w:r w:rsidRPr="00560190">
              <w:rPr>
                <w:b/>
                <w:bCs/>
                <w:szCs w:val="18"/>
              </w:rPr>
              <w:fldChar w:fldCharType="begin" w:fldLock="1"/>
            </w:r>
            <w:r w:rsidRPr="00560190">
              <w:rPr>
                <w:b/>
                <w:bCs/>
                <w:szCs w:val="18"/>
              </w:rPr>
              <w:instrText xml:space="preserve"> DOCPROPERTY EK_RefNr </w:instrText>
            </w:r>
            <w:r w:rsidRPr="00560190">
              <w:rPr>
                <w:b/>
                <w:bCs/>
                <w:szCs w:val="18"/>
              </w:rPr>
              <w:fldChar w:fldCharType="separate"/>
            </w:r>
            <w:r w:rsidRPr="00560190">
              <w:rPr>
                <w:b/>
                <w:bCs/>
                <w:szCs w:val="18"/>
              </w:rPr>
              <w:t>H-.3.2</w:t>
            </w:r>
            <w:r w:rsidRPr="00560190">
              <w:rPr>
                <w:b/>
                <w:bCs/>
                <w:szCs w:val="18"/>
              </w:rPr>
              <w:fldChar w:fldCharType="end"/>
            </w:r>
          </w:p>
        </w:tc>
      </w:tr>
      <w:tr w14:paraId="02699B5C" w14:textId="77777777" w:rsidTr="00560190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694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FA" w:rsidRPr="001A2ECE" w14:paraId="02699B5A" w14:textId="77777777">
            <w:pPr>
              <w:spacing w:before="80" w:after="80"/>
              <w:rPr>
                <w:b/>
              </w:rPr>
            </w:pPr>
            <w:r w:rsidRPr="001A2ECE">
              <w:rPr>
                <w:b/>
                <w:sz w:val="22"/>
                <w:szCs w:val="24"/>
              </w:rPr>
              <w:fldChar w:fldCharType="begin" w:fldLock="1"/>
            </w:r>
            <w:r w:rsidRPr="001A2ECE">
              <w:rPr>
                <w:b/>
                <w:sz w:val="22"/>
                <w:szCs w:val="24"/>
              </w:rPr>
              <w:instrText xml:space="preserve"> DOCPROPERTY EK_DokTittel </w:instrText>
            </w:r>
            <w:r w:rsidRPr="001A2ECE">
              <w:rPr>
                <w:b/>
                <w:sz w:val="22"/>
                <w:szCs w:val="24"/>
              </w:rPr>
              <w:fldChar w:fldCharType="separate"/>
            </w:r>
            <w:r w:rsidRPr="001A2ECE">
              <w:rPr>
                <w:b/>
                <w:sz w:val="22"/>
                <w:szCs w:val="24"/>
              </w:rPr>
              <w:t>Prosess for levering av undervisning og læring</w:t>
            </w:r>
            <w:r w:rsidRPr="001A2ECE">
              <w:rPr>
                <w:b/>
                <w:sz w:val="22"/>
                <w:szCs w:val="24"/>
              </w:rPr>
              <w:fldChar w:fldCharType="end"/>
            </w:r>
            <w:bookmarkStart w:id="0" w:name="tempHer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A2ECE" w:rsidRPr="004A1508" w14:paraId="02699B5B" w14:textId="5970CC4A">
            <w:pPr>
              <w:spacing w:before="80" w:after="80"/>
              <w:rPr>
                <w:b/>
                <w:bCs/>
              </w:rPr>
            </w:pPr>
            <w:r w:rsidRPr="004A1508">
              <w:rPr>
                <w:b/>
                <w:bCs/>
              </w:rPr>
              <w:fldChar w:fldCharType="begin" w:fldLock="1"/>
            </w:r>
            <w:r w:rsidRPr="004A1508">
              <w:rPr>
                <w:b/>
                <w:bCs/>
              </w:rPr>
              <w:instrText>DOCPROPERTY EK_DokType \*charformat \* MERGEFORMAT</w:instrText>
            </w:r>
            <w:r w:rsidRPr="004A1508">
              <w:rPr>
                <w:b/>
                <w:bCs/>
              </w:rPr>
              <w:fldChar w:fldCharType="separate"/>
            </w:r>
            <w:r w:rsidRPr="004A1508">
              <w:rPr>
                <w:b/>
                <w:bCs/>
                <w:noProof/>
              </w:rPr>
              <w:t>Prosessbeskrivelse</w:t>
            </w:r>
            <w:r w:rsidRPr="004A1508">
              <w:rPr>
                <w:b/>
                <w:bCs/>
              </w:rPr>
              <w:fldChar w:fldCharType="end"/>
            </w:r>
          </w:p>
        </w:tc>
      </w:tr>
      <w:tr w14:paraId="02699B67" w14:textId="77777777" w:rsidTr="00D6432B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D6432B" w:rsidRPr="00560190" w:rsidP="00D6432B" w14:paraId="02699B5D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Utgave:</w:t>
            </w:r>
          </w:p>
          <w:p w:rsidR="00D6432B" w:rsidRPr="00560190" w:rsidP="00D6432B" w14:paraId="02699B5E" w14:textId="77777777">
            <w:pPr>
              <w:jc w:val="center"/>
              <w:rPr>
                <w:sz w:val="20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EK_Utgave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0.00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02699B5F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Skrevet av:</w:t>
            </w:r>
          </w:p>
          <w:p w:rsidR="00D6432B" w:rsidRPr="00560190" w:rsidP="00D6432B" w14:paraId="02699B60" w14:textId="77777777">
            <w:pPr>
              <w:jc w:val="center"/>
              <w:rPr>
                <w:sz w:val="20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EK_SkrevetAv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Hans Tore Mikkelsen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02699B61" w14:textId="03268A66">
            <w:pPr>
              <w:rPr>
                <w:sz w:val="16"/>
              </w:rPr>
            </w:pPr>
            <w:r w:rsidRPr="00560190">
              <w:rPr>
                <w:sz w:val="16"/>
              </w:rPr>
              <w:t>Gjelder fra</w:t>
            </w:r>
            <w:r>
              <w:rPr>
                <w:sz w:val="16"/>
              </w:rPr>
              <w:t>/til</w:t>
            </w:r>
            <w:r w:rsidRPr="00560190">
              <w:rPr>
                <w:sz w:val="16"/>
              </w:rPr>
              <w:t>:</w:t>
            </w:r>
          </w:p>
          <w:p w:rsidR="00D6432B" w:rsidRPr="00560190" w:rsidP="00D6432B" w14:paraId="02699B62" w14:textId="77777777">
            <w:pPr>
              <w:jc w:val="center"/>
              <w:rPr>
                <w:szCs w:val="18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EK_GjelderFra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30.01.2025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29C84A1B" w14:textId="61E0927A">
            <w:pPr>
              <w:rPr>
                <w:szCs w:val="18"/>
              </w:rPr>
            </w:pPr>
            <w:r w:rsidRPr="00560190">
              <w:rPr>
                <w:sz w:val="16"/>
              </w:rPr>
              <w:t>G</w:t>
            </w:r>
            <w:r>
              <w:rPr>
                <w:sz w:val="16"/>
              </w:rPr>
              <w:t>jelder</w:t>
            </w:r>
            <w:r w:rsidRPr="00560190">
              <w:rPr>
                <w:sz w:val="16"/>
              </w:rPr>
              <w:t xml:space="preserve"> til:</w:t>
            </w:r>
            <w:r>
              <w:rPr>
                <w:sz w:val="16"/>
              </w:rPr>
              <w:t xml:space="preserve"> </w:t>
            </w:r>
          </w:p>
          <w:p w:rsidR="00D6432B" w:rsidRPr="00560190" w:rsidP="00D6432B" w14:paraId="02699B64" w14:textId="03CFBA8A">
            <w:pPr>
              <w:jc w:val="center"/>
              <w:rPr>
                <w:szCs w:val="18"/>
              </w:rPr>
            </w:pPr>
            <w:r w:rsidRPr="00560190">
              <w:fldChar w:fldCharType="begin" w:fldLock="1"/>
            </w:r>
            <w:r w:rsidRPr="00560190">
              <w:instrText>DOCPROPERTY EK_GjelderTil \*charformat \* MERGEFORMAT</w:instrText>
            </w:r>
            <w:r w:rsidRPr="00560190">
              <w:fldChar w:fldCharType="separate"/>
            </w:r>
            <w:r w:rsidRPr="00560190">
              <w:rPr>
                <w:noProof/>
              </w:rPr>
              <w:t>30.01.2026</w:t>
            </w:r>
            <w:r w:rsidRPr="00560190"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6432B" w:rsidRPr="00560190" w:rsidP="00D6432B" w14:paraId="277282C8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Godkjent av:</w:t>
            </w:r>
          </w:p>
          <w:p w:rsidR="00D6432B" w:rsidRPr="00560190" w:rsidP="00D6432B" w14:paraId="02699B66" w14:textId="6F0FF2DE">
            <w:pPr>
              <w:jc w:val="center"/>
              <w:rPr>
                <w:szCs w:val="18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EK_Signatur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Ikke styrt</w:t>
            </w:r>
            <w:r w:rsidRPr="00560190">
              <w:rPr>
                <w:szCs w:val="18"/>
              </w:rPr>
              <w:fldChar w:fldCharType="end"/>
            </w:r>
          </w:p>
        </w:tc>
      </w:tr>
    </w:tbl>
    <w:p w:rsidR="00A90694" w:rsidRPr="00A90694" w:rsidP="00994961" w14:paraId="5A214358" w14:textId="26A1BBBF">
      <w:pPr>
        <w:pStyle w:val="Heading1"/>
        <w:numPr>
          <w:ilvl w:val="0"/>
          <w:numId w:val="3"/>
        </w:numPr>
        <w:spacing w:after="120"/>
        <w:ind w:left="426"/>
      </w:pPr>
      <w:r>
        <w:t>Innledning</w:t>
      </w:r>
    </w:p>
    <w:p w:rsidR="00F60869" w:rsidP="00E44BC6" w14:paraId="200131CC" w14:textId="2D2A5BBC">
      <w:pPr>
        <w:spacing w:after="120"/>
        <w:ind w:left="142"/>
        <w:jc w:val="both"/>
      </w:pPr>
      <w:r>
        <w:t>D</w:t>
      </w:r>
      <w:r w:rsidR="0091552D">
        <w:t xml:space="preserve">okumentet </w:t>
      </w:r>
      <w:r>
        <w:t xml:space="preserve">gir en generell </w:t>
      </w:r>
      <w:r w:rsidR="0091552D">
        <w:t xml:space="preserve">og overordnet </w:t>
      </w:r>
      <w:r>
        <w:t>system- eller prosess</w:t>
      </w:r>
      <w:r w:rsidR="0091552D">
        <w:t>beskrive</w:t>
      </w:r>
      <w:r>
        <w:t>lse av</w:t>
      </w:r>
      <w:r w:rsidR="0091552D">
        <w:t xml:space="preserve"> </w:t>
      </w:r>
      <w:r w:rsidR="002101AF">
        <w:t xml:space="preserve">prosesser knyttet til leveranse av utdanningstilbud </w:t>
      </w:r>
      <w:r w:rsidR="0092756B">
        <w:t xml:space="preserve">ved </w:t>
      </w:r>
      <w:r w:rsidR="0091552D">
        <w:t xml:space="preserve">Trøndelag høyere yrkesfagskole (THYF). </w:t>
      </w:r>
    </w:p>
    <w:p w:rsidR="002101AF" w:rsidP="00E44BC6" w14:paraId="1CFBEAE1" w14:textId="77777777">
      <w:pPr>
        <w:spacing w:after="120"/>
        <w:ind w:left="142"/>
        <w:jc w:val="both"/>
      </w:pPr>
      <w:r>
        <w:t xml:space="preserve">For tilfeller hvor det er aktuelt å beskrive hvordan man </w:t>
      </w:r>
      <w:r>
        <w:t>oppfyller lovkrav, standarder eller interne regler, suppleres dokumentet av prosedyrer, instrukser eller andre styrende dokumenter i kvalitetssystemet</w:t>
      </w:r>
      <w:r w:rsidR="00E44BC6">
        <w:t xml:space="preserve">, se </w:t>
      </w:r>
      <w:r w:rsidR="0092756B">
        <w:t xml:space="preserve">avsnittet </w:t>
      </w:r>
      <w:r w:rsidRPr="0092756B" w:rsidR="0092756B">
        <w:rPr>
          <w:i/>
          <w:iCs/>
        </w:rPr>
        <w:t>I</w:t>
      </w:r>
      <w:r w:rsidRPr="0092756B" w:rsidR="00E44BC6">
        <w:rPr>
          <w:i/>
          <w:iCs/>
        </w:rPr>
        <w:t>nterne referanser</w:t>
      </w:r>
      <w:r>
        <w:t xml:space="preserve">. </w:t>
      </w:r>
    </w:p>
    <w:p w:rsidR="009E3A68" w:rsidP="007A72CF" w14:paraId="4BE29C0E" w14:textId="04C8AC3B">
      <w:pPr>
        <w:spacing w:after="120"/>
        <w:ind w:left="142"/>
        <w:jc w:val="both"/>
      </w:pPr>
      <w:r>
        <w:t xml:space="preserve">Det kan også henvises til styrende dokumenter i </w:t>
      </w:r>
      <w:r>
        <w:t>beskrivelsesteksten, se avsnitt 2. Følgende punkter omhandles i beskrivelsen:</w:t>
      </w:r>
    </w:p>
    <w:p w:rsidR="009E3A68" w:rsidP="009E3A68" w14:paraId="134F3269" w14:textId="32AB07B2">
      <w:pPr>
        <w:spacing w:after="120"/>
        <w:ind w:left="1134"/>
        <w:contextualSpacing/>
        <w:jc w:val="both"/>
      </w:pPr>
      <w:r>
        <w:fldChar w:fldCharType="begin"/>
      </w:r>
      <w:r>
        <w:instrText xml:space="preserve"> REF _Ref188877409 \h </w:instrText>
      </w:r>
      <w:r>
        <w:fldChar w:fldCharType="separate"/>
      </w:r>
      <w:r>
        <w:t xml:space="preserve">2.1 </w:t>
      </w:r>
      <w:r w:rsidR="002101AF">
        <w:t xml:space="preserve">Planlegging </w:t>
      </w:r>
      <w:r w:rsidR="00E523A6">
        <w:t>f</w:t>
      </w:r>
      <w:r w:rsidR="002101AF">
        <w:t>o</w:t>
      </w:r>
      <w:r w:rsidR="00E523A6">
        <w:t xml:space="preserve">r </w:t>
      </w:r>
      <w:r w:rsidR="002101AF">
        <w:t>g</w:t>
      </w:r>
      <w:r w:rsidR="00E523A6">
        <w:t>jennomføring av undervisning og læring</w:t>
      </w:r>
      <w:r>
        <w:fldChar w:fldCharType="end"/>
      </w:r>
    </w:p>
    <w:p w:rsidR="007A72CF" w:rsidP="009E3A68" w14:paraId="6C43EC2F" w14:textId="33119F7A">
      <w:pPr>
        <w:spacing w:after="120"/>
        <w:ind w:left="1134"/>
        <w:contextualSpacing/>
        <w:jc w:val="both"/>
      </w:pPr>
      <w:r>
        <w:fldChar w:fldCharType="begin"/>
      </w:r>
      <w:r>
        <w:instrText xml:space="preserve"> REF _Ref188879878 \h </w:instrText>
      </w:r>
      <w:r>
        <w:fldChar w:fldCharType="separate"/>
      </w:r>
      <w:r>
        <w:t>2.2 Leveranse av utdanningstilbud</w:t>
      </w:r>
      <w:r>
        <w:fldChar w:fldCharType="end"/>
      </w:r>
    </w:p>
    <w:p w:rsidR="009E3A68" w:rsidP="009E3A68" w14:paraId="61D2853F" w14:textId="0B453877">
      <w:pPr>
        <w:spacing w:after="120"/>
        <w:ind w:left="1134"/>
        <w:contextualSpacing/>
        <w:jc w:val="both"/>
      </w:pPr>
      <w:r>
        <w:fldChar w:fldCharType="begin"/>
      </w:r>
      <w:r>
        <w:instrText xml:space="preserve"> REF _Ref188879888 \h </w:instrText>
      </w:r>
      <w:r>
        <w:fldChar w:fldCharType="separate"/>
      </w:r>
      <w:r>
        <w:t>2.3 E-læring</w:t>
      </w:r>
      <w:r>
        <w:fldChar w:fldCharType="end"/>
      </w:r>
    </w:p>
    <w:p w:rsidR="00F9677E" w:rsidRPr="00F9677E" w:rsidP="00E44BC6" w14:paraId="2A668A33" w14:textId="2B92E89F">
      <w:pPr>
        <w:pStyle w:val="Heading1"/>
        <w:numPr>
          <w:ilvl w:val="0"/>
          <w:numId w:val="3"/>
        </w:numPr>
        <w:spacing w:after="120"/>
        <w:ind w:left="426"/>
        <w:jc w:val="both"/>
      </w:pPr>
      <w:r>
        <w:t>Beskrivelse</w:t>
      </w:r>
    </w:p>
    <w:p w:rsidR="0092756B" w:rsidRPr="007D26B5" w:rsidP="0092756B" w14:paraId="7D6E624B" w14:textId="5C773866">
      <w:pPr>
        <w:pStyle w:val="Heading2"/>
        <w:ind w:left="142"/>
      </w:pPr>
      <w:bookmarkStart w:id="1" w:name="_Ref188877409"/>
      <w:r>
        <w:t xml:space="preserve">2.1 </w:t>
      </w:r>
      <w:r w:rsidR="002101AF">
        <w:t xml:space="preserve">Planlegging </w:t>
      </w:r>
      <w:r w:rsidR="00E523A6">
        <w:t>f</w:t>
      </w:r>
      <w:r w:rsidR="002101AF">
        <w:t>o</w:t>
      </w:r>
      <w:r w:rsidR="00E523A6">
        <w:t xml:space="preserve">r </w:t>
      </w:r>
      <w:r w:rsidR="002101AF">
        <w:t>g</w:t>
      </w:r>
      <w:r w:rsidR="00E523A6">
        <w:t>jennomføring av undervisning og læring</w:t>
      </w:r>
      <w:bookmarkEnd w:id="1"/>
    </w:p>
    <w:p w:rsidR="0011320D" w:rsidP="002101AF" w14:paraId="33148401" w14:textId="55EA7F67">
      <w:pPr>
        <w:spacing w:after="120"/>
        <w:ind w:left="142"/>
        <w:jc w:val="both"/>
      </w:pPr>
      <w:r>
        <w:t>Studiestart for inneværende studieår planlegges ut fra resultatet av opptak og suppleringsopptak gjennomført av samordna opptak i samarbeid med THYF, og eventuelle lokale opptak</w:t>
      </w:r>
      <w:r>
        <w:rPr>
          <w:rStyle w:val="FootnoteReference"/>
        </w:rPr>
        <w:footnoteReference w:id="2"/>
      </w:r>
      <w:r>
        <w:t xml:space="preserve"> foretatt av studieadministrasjonen. </w:t>
      </w:r>
    </w:p>
    <w:p w:rsidR="002101AF" w:rsidP="002101AF" w14:paraId="7FF42023" w14:textId="4FF0F0AE">
      <w:pPr>
        <w:spacing w:before="240" w:after="120"/>
        <w:ind w:left="142"/>
        <w:jc w:val="both"/>
      </w:pPr>
      <w:r>
        <w:t xml:space="preserve">Studiestedskoordinator har ansvaret for å kontrollere følgende punkter før </w:t>
      </w:r>
      <w:r w:rsidR="0011320D">
        <w:t xml:space="preserve">utdanning, opplæring og </w:t>
      </w:r>
      <w:r>
        <w:t xml:space="preserve">kurs starter: </w:t>
      </w:r>
    </w:p>
    <w:p w:rsidR="002101AF" w:rsidP="008404C8" w14:paraId="5381D417" w14:textId="4C75C9A5">
      <w:pPr>
        <w:numPr>
          <w:ilvl w:val="0"/>
          <w:numId w:val="18"/>
        </w:numPr>
        <w:spacing w:after="120"/>
        <w:contextualSpacing/>
        <w:jc w:val="both"/>
      </w:pPr>
      <w:r>
        <w:t>Tilgang til egnede lokaler for undervisning (klasserom/konferanserom, laboratori</w:t>
      </w:r>
      <w:r w:rsidR="008404C8">
        <w:t>er</w:t>
      </w:r>
      <w:r>
        <w:t xml:space="preserve"> e.l.).</w:t>
      </w:r>
    </w:p>
    <w:p w:rsidR="002101AF" w:rsidP="008404C8" w14:paraId="36B251D8" w14:textId="50A786EB">
      <w:pPr>
        <w:numPr>
          <w:ilvl w:val="0"/>
          <w:numId w:val="18"/>
        </w:numPr>
        <w:spacing w:after="120"/>
        <w:contextualSpacing/>
        <w:jc w:val="both"/>
      </w:pPr>
      <w:r>
        <w:t xml:space="preserve">Tilgang til nødvendig og egnet utstyr, eksempelvis audiovisuelle hjelpemidler. </w:t>
      </w:r>
    </w:p>
    <w:p w:rsidR="002101AF" w:rsidP="008404C8" w14:paraId="06314F57" w14:textId="66A0E884">
      <w:pPr>
        <w:numPr>
          <w:ilvl w:val="0"/>
          <w:numId w:val="18"/>
        </w:numPr>
        <w:spacing w:after="120"/>
        <w:contextualSpacing/>
        <w:jc w:val="both"/>
      </w:pPr>
      <w:r>
        <w:t>Simulatorer.</w:t>
      </w:r>
    </w:p>
    <w:p w:rsidR="002101AF" w:rsidP="00E523A6" w14:paraId="3EB6B31C" w14:textId="39659480">
      <w:pPr>
        <w:numPr>
          <w:ilvl w:val="0"/>
          <w:numId w:val="18"/>
        </w:numPr>
        <w:spacing w:after="120"/>
        <w:contextualSpacing/>
        <w:jc w:val="both"/>
      </w:pPr>
      <w:r>
        <w:t>Utarbeide samlings- og undervisningsplaner</w:t>
      </w:r>
    </w:p>
    <w:p w:rsidR="002101AF" w:rsidP="002101AF" w14:paraId="366587BA" w14:textId="6E21AE97">
      <w:pPr>
        <w:spacing w:before="240" w:after="120"/>
        <w:ind w:left="142"/>
        <w:jc w:val="both"/>
      </w:pPr>
      <w:r>
        <w:t xml:space="preserve">Utdanningsleder har personalansvar </w:t>
      </w:r>
      <w:r w:rsidR="00E523A6">
        <w:t xml:space="preserve">for eget undervisningspersonale </w:t>
      </w:r>
      <w:r>
        <w:t>og er ansvarlig for å sikre at</w:t>
      </w:r>
    </w:p>
    <w:p w:rsidR="007A72CF" w:rsidP="008404C8" w14:paraId="3C88DA9F" w14:textId="77777777">
      <w:pPr>
        <w:numPr>
          <w:ilvl w:val="0"/>
          <w:numId w:val="17"/>
        </w:numPr>
        <w:spacing w:after="120"/>
        <w:contextualSpacing/>
        <w:jc w:val="both"/>
      </w:pPr>
      <w:r>
        <w:t>Undervisningsp</w:t>
      </w:r>
      <w:r w:rsidR="002101AF">
        <w:t xml:space="preserve">ersonalets kompetanse samsvarer med krav til kompetanse for utdanningene som hører inn under </w:t>
      </w:r>
      <w:r>
        <w:t xml:space="preserve">respektive </w:t>
      </w:r>
      <w:r w:rsidR="002101AF">
        <w:t xml:space="preserve">utdanningsområdet. </w:t>
      </w:r>
    </w:p>
    <w:p w:rsidR="008404C8" w:rsidP="008404C8" w14:paraId="1178F73D" w14:textId="3E685380">
      <w:pPr>
        <w:numPr>
          <w:ilvl w:val="0"/>
          <w:numId w:val="17"/>
        </w:numPr>
        <w:spacing w:after="120"/>
        <w:contextualSpacing/>
        <w:jc w:val="both"/>
      </w:pPr>
      <w:r>
        <w:t xml:space="preserve">Gyldighet av </w:t>
      </w:r>
      <w:r w:rsidR="00E523A6">
        <w:t xml:space="preserve">akkrediteringer og </w:t>
      </w:r>
      <w:r>
        <w:t>godkjenninger</w:t>
      </w:r>
      <w:r w:rsidR="0011320D">
        <w:t xml:space="preserve"> av </w:t>
      </w:r>
      <w:r w:rsidR="00E523A6">
        <w:t xml:space="preserve">tilbudte </w:t>
      </w:r>
      <w:r w:rsidR="0011320D">
        <w:t>utdanninger i samarbeid med studieadministrasjonen</w:t>
      </w:r>
    </w:p>
    <w:p w:rsidR="008404C8" w:rsidP="008404C8" w14:paraId="1BDDFA42" w14:textId="77777777">
      <w:pPr>
        <w:numPr>
          <w:ilvl w:val="0"/>
          <w:numId w:val="17"/>
        </w:numPr>
        <w:spacing w:after="120"/>
        <w:contextualSpacing/>
        <w:jc w:val="both"/>
      </w:pPr>
      <w:r>
        <w:t xml:space="preserve">At det foreligger nødvendige </w:t>
      </w:r>
      <w:r w:rsidR="002101AF">
        <w:t xml:space="preserve">avtaler med </w:t>
      </w:r>
      <w:r>
        <w:t xml:space="preserve">eventuelle </w:t>
      </w:r>
      <w:r w:rsidR="002101AF">
        <w:t>underleverandører.</w:t>
      </w:r>
      <w:r w:rsidR="007A72CF">
        <w:t xml:space="preserve"> </w:t>
      </w:r>
    </w:p>
    <w:p w:rsidR="000509B9" w:rsidP="008404C8" w14:paraId="79BC77BF" w14:textId="7DA41C48">
      <w:pPr>
        <w:numPr>
          <w:ilvl w:val="0"/>
          <w:numId w:val="17"/>
        </w:numPr>
        <w:spacing w:after="120"/>
        <w:contextualSpacing/>
        <w:jc w:val="both"/>
      </w:pPr>
      <w:r>
        <w:t>Utdanningsleder har overordnet ansvar for å sikre at lærerne er samkjørte i sin planlegging av undervisning og læring.</w:t>
      </w:r>
    </w:p>
    <w:p w:rsidR="009E3A68" w:rsidRPr="007D26B5" w:rsidP="009E3A68" w14:paraId="76A894CA" w14:textId="74845FD6">
      <w:pPr>
        <w:pStyle w:val="Heading2"/>
        <w:ind w:left="142"/>
      </w:pPr>
      <w:bookmarkStart w:id="2" w:name="_Ref188879878"/>
      <w:r>
        <w:t>2.2 Leveranse av utdanningstilbud</w:t>
      </w:r>
      <w:bookmarkEnd w:id="2"/>
    </w:p>
    <w:p w:rsidR="009E3A68" w:rsidP="00463B24" w14:paraId="457362F8" w14:textId="71E2D91D">
      <w:pPr>
        <w:spacing w:before="240" w:after="120"/>
        <w:ind w:left="142"/>
        <w:contextualSpacing/>
        <w:jc w:val="both"/>
      </w:pPr>
      <w:r>
        <w:t>Følgende skal være på plass:</w:t>
      </w:r>
    </w:p>
    <w:p w:rsidR="00463B24" w:rsidP="00463B24" w14:paraId="7B070667" w14:textId="77777777">
      <w:pPr>
        <w:spacing w:before="240" w:after="120"/>
        <w:ind w:left="142"/>
        <w:contextualSpacing/>
        <w:jc w:val="both"/>
      </w:pPr>
    </w:p>
    <w:p w:rsidR="00463B24" w:rsidP="007A72CF" w14:paraId="5234EDBF" w14:textId="0937F9FF">
      <w:pPr>
        <w:numPr>
          <w:ilvl w:val="0"/>
          <w:numId w:val="13"/>
        </w:numPr>
        <w:spacing w:before="240" w:after="120"/>
        <w:ind w:left="993" w:hanging="357"/>
        <w:contextualSpacing/>
        <w:jc w:val="both"/>
      </w:pPr>
      <w:r>
        <w:t>Akkrediteringer/godkjenninger fra NOKUT for tilbudte utdanninger ved THYF.</w:t>
      </w:r>
    </w:p>
    <w:p w:rsidR="00463B24" w:rsidP="007A72CF" w14:paraId="60562140" w14:textId="0B9498C8">
      <w:pPr>
        <w:numPr>
          <w:ilvl w:val="0"/>
          <w:numId w:val="13"/>
        </w:numPr>
        <w:spacing w:after="120"/>
        <w:ind w:left="993" w:hanging="357"/>
        <w:contextualSpacing/>
        <w:jc w:val="both"/>
      </w:pPr>
      <w:r>
        <w:t xml:space="preserve">Sertifikat tildelt av </w:t>
      </w:r>
      <w:r>
        <w:t>akkreditert sertifiseringsorgan for utdanninger hvor det foreligger krav om sertifisering.</w:t>
      </w:r>
    </w:p>
    <w:p w:rsidR="00463B24" w:rsidP="007A72CF" w14:paraId="6F4BFBFC" w14:textId="3280A05B">
      <w:pPr>
        <w:numPr>
          <w:ilvl w:val="0"/>
          <w:numId w:val="13"/>
        </w:numPr>
        <w:spacing w:after="120"/>
        <w:ind w:left="993" w:hanging="357"/>
        <w:contextualSpacing/>
        <w:jc w:val="both"/>
      </w:pPr>
      <w:r>
        <w:t>Godkjenning tildelt av tilsynsmyndighet, eksempelvis Sjøfartsdirektoratet, for utdanninger hvor det foreligger krav om godkjenning.</w:t>
      </w:r>
    </w:p>
    <w:p w:rsidR="00463B24" w:rsidP="007A72CF" w14:paraId="0ED4C0F2" w14:textId="12FAAB2F">
      <w:pPr>
        <w:numPr>
          <w:ilvl w:val="0"/>
          <w:numId w:val="13"/>
        </w:numPr>
        <w:spacing w:after="120"/>
        <w:ind w:left="993" w:hanging="357"/>
        <w:contextualSpacing/>
        <w:jc w:val="both"/>
      </w:pPr>
      <w:r>
        <w:t>Godkjent studieplan for den enkelte utdanning.</w:t>
      </w:r>
    </w:p>
    <w:p w:rsidR="00181BD2" w:rsidP="00181BD2" w14:paraId="4F8963DB" w14:textId="53620B60">
      <w:pPr>
        <w:spacing w:after="120"/>
        <w:contextualSpacing/>
        <w:jc w:val="both"/>
      </w:pPr>
    </w:p>
    <w:p w:rsidR="00463B24" w:rsidP="00463B24" w14:paraId="01D2CB7A" w14:textId="2558CB79">
      <w:pPr>
        <w:spacing w:after="120"/>
        <w:ind w:left="641"/>
        <w:contextualSpacing/>
        <w:jc w:val="both"/>
      </w:pPr>
      <w:r>
        <w:t>Gjelder både eksisterende og nye utdanninger.</w:t>
      </w:r>
    </w:p>
    <w:p w:rsidR="00463B24" w:rsidP="00463B24" w14:paraId="2CDBE23F" w14:textId="6FE120B2">
      <w:pPr>
        <w:spacing w:after="120"/>
        <w:ind w:left="142"/>
        <w:contextualSpacing/>
        <w:jc w:val="both"/>
      </w:pPr>
      <w:r>
        <w:br w:type="page"/>
      </w:r>
      <w:r>
        <w:t>I tillegg skal følgende foreligge</w:t>
      </w:r>
      <w:r w:rsidR="000509B9">
        <w:t xml:space="preserve"> eller gjennomføres</w:t>
      </w:r>
      <w:r w:rsidR="00E523A6">
        <w:t xml:space="preserve"> ved studiestart</w:t>
      </w:r>
      <w:r>
        <w:t>:</w:t>
      </w:r>
    </w:p>
    <w:p w:rsidR="00463B24" w:rsidP="00463B24" w14:paraId="74849CED" w14:textId="77777777">
      <w:pPr>
        <w:spacing w:after="120"/>
        <w:ind w:left="142"/>
        <w:contextualSpacing/>
        <w:jc w:val="both"/>
      </w:pPr>
    </w:p>
    <w:p w:rsidR="00463B24" w:rsidP="00463B24" w14:paraId="3C345B5F" w14:textId="3F594BD6">
      <w:pPr>
        <w:numPr>
          <w:ilvl w:val="0"/>
          <w:numId w:val="14"/>
        </w:numPr>
        <w:spacing w:after="120"/>
        <w:contextualSpacing/>
        <w:jc w:val="both"/>
      </w:pPr>
      <w:r>
        <w:t>Nødvendige avtaler om bruk av utstyr og rom må være på plass. Dette gjelder både for læringsaktiviteter og utstyr anvendt i undervisningen.</w:t>
      </w:r>
    </w:p>
    <w:p w:rsidR="00463B24" w:rsidP="00463B24" w14:paraId="5568B941" w14:textId="26EF381C">
      <w:pPr>
        <w:numPr>
          <w:ilvl w:val="0"/>
          <w:numId w:val="14"/>
        </w:numPr>
        <w:spacing w:after="120"/>
        <w:contextualSpacing/>
        <w:jc w:val="both"/>
      </w:pPr>
      <w:r>
        <w:t xml:space="preserve">For utstyr som THYF selv ikke eier må nødvendige avtaler </w:t>
      </w:r>
      <w:r w:rsidR="00E523A6">
        <w:t xml:space="preserve">om anvendelse </w:t>
      </w:r>
      <w:r>
        <w:t>være på plass. E</w:t>
      </w:r>
      <w:r w:rsidR="000509B9">
        <w:t>t e</w:t>
      </w:r>
      <w:r>
        <w:t>ksempel på slikt utstyr kan være simulator</w:t>
      </w:r>
      <w:r w:rsidR="00E523A6">
        <w:t>utsty</w:t>
      </w:r>
      <w:r>
        <w:t>r.</w:t>
      </w:r>
    </w:p>
    <w:p w:rsidR="00181BD2" w:rsidP="00181BD2" w14:paraId="2BE348D4" w14:textId="77777777">
      <w:pPr>
        <w:numPr>
          <w:ilvl w:val="0"/>
          <w:numId w:val="14"/>
        </w:numPr>
        <w:spacing w:after="120"/>
        <w:contextualSpacing/>
        <w:jc w:val="both"/>
      </w:pPr>
      <w:r>
        <w:t>Læringssystemet (LMS) angir framdriftsplan som og arbeidskrav for det enkelte emne og tema som inngår i utdanningen</w:t>
      </w:r>
    </w:p>
    <w:p w:rsidR="00181BD2" w:rsidP="00181BD2" w14:paraId="496DCA14" w14:textId="77777777">
      <w:pPr>
        <w:numPr>
          <w:ilvl w:val="0"/>
          <w:numId w:val="14"/>
        </w:numPr>
        <w:spacing w:after="120"/>
        <w:contextualSpacing/>
        <w:jc w:val="both"/>
      </w:pPr>
      <w:r>
        <w:t>Tilgang til nødvendige deler av THYFs kvalitetsledelsessystem.</w:t>
      </w:r>
    </w:p>
    <w:p w:rsidR="000509B9" w:rsidP="00463B24" w14:paraId="37AA1EE9" w14:textId="6D274530">
      <w:pPr>
        <w:numPr>
          <w:ilvl w:val="0"/>
          <w:numId w:val="14"/>
        </w:numPr>
        <w:spacing w:after="120"/>
        <w:contextualSpacing/>
        <w:jc w:val="both"/>
      </w:pPr>
      <w:r>
        <w:t>Nødvendige evalueringer for å vurdere relevans av utdanningen gjennom kartlegging rettet mot studenter, fagmiljø, arbeidsliv og andre relevante interesseparter.</w:t>
      </w:r>
    </w:p>
    <w:p w:rsidR="00463B24" w:rsidP="00463B24" w14:paraId="7C16B30A" w14:textId="77777777">
      <w:pPr>
        <w:spacing w:before="240" w:after="120"/>
        <w:ind w:left="142"/>
        <w:contextualSpacing/>
        <w:jc w:val="both"/>
      </w:pPr>
    </w:p>
    <w:p w:rsidR="000509B9" w:rsidP="00463B24" w14:paraId="7974EE3A" w14:textId="77777777">
      <w:pPr>
        <w:spacing w:before="240" w:after="120"/>
        <w:ind w:left="142"/>
        <w:contextualSpacing/>
        <w:jc w:val="both"/>
      </w:pPr>
    </w:p>
    <w:p w:rsidR="000509B9" w:rsidP="000509B9" w14:paraId="6E54D8ED" w14:textId="724C0D88">
      <w:pPr>
        <w:spacing w:before="240" w:after="120"/>
        <w:ind w:left="142"/>
        <w:contextualSpacing/>
        <w:jc w:val="both"/>
      </w:pPr>
      <w:r w:rsidRPr="00BC3D00">
        <w:rPr>
          <w:u w:val="single"/>
        </w:rPr>
        <w:t>Godkjente studieplaner</w:t>
      </w:r>
      <w:r>
        <w:t xml:space="preserve"> skal være klar og tilgjengelig før oppstart av studieåret. Studieplanen </w:t>
      </w:r>
      <w:r w:rsidR="00BC3D00">
        <w:t>gir beskrivelse av læringsutbytte, samt</w:t>
      </w:r>
      <w:r>
        <w:t xml:space="preserve"> </w:t>
      </w:r>
      <w:r w:rsidR="00BC3D00">
        <w:t xml:space="preserve">hvilket </w:t>
      </w:r>
      <w:r>
        <w:t>innhold, undervisnings- og læringsformer</w:t>
      </w:r>
      <w:r w:rsidR="00BC3D00">
        <w:t xml:space="preserve"> som kan anvendes.</w:t>
      </w:r>
    </w:p>
    <w:p w:rsidR="00BC3D00" w:rsidP="000509B9" w14:paraId="01D6FA64" w14:textId="77777777">
      <w:pPr>
        <w:spacing w:before="240" w:after="120"/>
        <w:ind w:left="142"/>
        <w:contextualSpacing/>
        <w:jc w:val="both"/>
      </w:pPr>
    </w:p>
    <w:p w:rsidR="00BC3D00" w:rsidP="000509B9" w14:paraId="3CEFC043" w14:textId="24AFE06E">
      <w:pPr>
        <w:spacing w:before="240" w:after="120"/>
        <w:ind w:left="142"/>
        <w:contextualSpacing/>
        <w:jc w:val="both"/>
      </w:pPr>
      <w:r>
        <w:t xml:space="preserve">Kvalitetsledelsessystemet ved THYF ligger på egen kvalitetsportal og gir tilgang til nødvendige dokumenter innenfor </w:t>
      </w:r>
      <w:r w:rsidR="007A72CF">
        <w:t xml:space="preserve">ledelsessystemets </w:t>
      </w:r>
      <w:r>
        <w:t>dokumentmodul</w:t>
      </w:r>
      <w:r w:rsidR="007A72CF">
        <w:t xml:space="preserve"> samt tilgang til meldesystemer. Bærebjelken i kvalitetsledelsessystemet er forbedringer gjennom</w:t>
      </w:r>
      <w:r w:rsidR="00181BD2">
        <w:t xml:space="preserve"> kontinuerlig</w:t>
      </w:r>
      <w:r w:rsidR="007A72CF">
        <w:t xml:space="preserve"> prosess</w:t>
      </w:r>
      <w:r w:rsidR="00181BD2">
        <w:t>fokus</w:t>
      </w:r>
      <w:r w:rsidR="007A72CF">
        <w:t xml:space="preserve"> og innmelding av hendelser og forbedringsforslag.</w:t>
      </w:r>
    </w:p>
    <w:p w:rsidR="007A72CF" w:rsidP="000509B9" w14:paraId="1A3D90E4" w14:textId="77777777">
      <w:pPr>
        <w:spacing w:before="240" w:after="120"/>
        <w:ind w:left="142"/>
        <w:contextualSpacing/>
        <w:jc w:val="both"/>
      </w:pPr>
    </w:p>
    <w:p w:rsidR="007A72CF" w:rsidP="005F4CD4" w14:paraId="7DDEBCD9" w14:textId="3B8425CC">
      <w:pPr>
        <w:spacing w:before="240" w:after="120"/>
        <w:ind w:left="142"/>
        <w:jc w:val="both"/>
      </w:pPr>
      <w:r>
        <w:t>Aktuelle styringsdokumenter:</w:t>
      </w:r>
    </w:p>
    <w:p w:rsidR="00E523A6" w:rsidP="00E523A6" w14:paraId="065FE4EB" w14:textId="65513826">
      <w:pPr>
        <w:numPr>
          <w:ilvl w:val="0"/>
          <w:numId w:val="15"/>
        </w:numPr>
        <w:spacing w:after="120"/>
        <w:ind w:left="1066" w:hanging="357"/>
        <w:contextualSpacing/>
        <w:jc w:val="both"/>
      </w:pPr>
      <w:r>
        <w:t xml:space="preserve">… </w:t>
      </w:r>
      <w:r w:rsidRPr="00C46988">
        <w:rPr>
          <w:color w:val="FF0000"/>
        </w:rPr>
        <w:t xml:space="preserve">Sjekkliste for planlegging </w:t>
      </w:r>
      <w:r w:rsidRPr="00C46988" w:rsidR="0073784A">
        <w:rPr>
          <w:color w:val="FF0000"/>
        </w:rPr>
        <w:t>av undervisning og læring for</w:t>
      </w:r>
      <w:r w:rsidRPr="00C46988">
        <w:rPr>
          <w:color w:val="FF0000"/>
        </w:rPr>
        <w:t xml:space="preserve"> utdanningsledere</w:t>
      </w:r>
      <w:r w:rsidR="0073784A">
        <w:t>.</w:t>
      </w:r>
    </w:p>
    <w:p w:rsidR="00181BD2" w:rsidP="00E523A6" w14:paraId="7F63D7CB" w14:textId="77E40788">
      <w:pPr>
        <w:numPr>
          <w:ilvl w:val="0"/>
          <w:numId w:val="15"/>
        </w:numPr>
        <w:spacing w:after="120"/>
        <w:ind w:left="1066" w:hanging="357"/>
        <w:contextualSpacing/>
        <w:jc w:val="both"/>
      </w:pPr>
      <w:r>
        <w:t xml:space="preserve">… </w:t>
      </w:r>
      <w:r w:rsidRPr="0073784A">
        <w:rPr>
          <w:color w:val="FF0000"/>
        </w:rPr>
        <w:t xml:space="preserve">Sjekkliste for planlegging </w:t>
      </w:r>
      <w:r w:rsidRPr="0073784A" w:rsidR="0073784A">
        <w:rPr>
          <w:color w:val="FF0000"/>
        </w:rPr>
        <w:t xml:space="preserve">av undervisning og læring for </w:t>
      </w:r>
      <w:r w:rsidRPr="0073784A">
        <w:rPr>
          <w:color w:val="FF0000"/>
        </w:rPr>
        <w:t>studiestedskoordinatorer</w:t>
      </w:r>
      <w:r w:rsidR="0073784A">
        <w:t>.</w:t>
      </w:r>
    </w:p>
    <w:p w:rsidR="00181BD2" w:rsidP="00E523A6" w14:paraId="5F7C00EA" w14:textId="0201E4AC">
      <w:pPr>
        <w:numPr>
          <w:ilvl w:val="0"/>
          <w:numId w:val="15"/>
        </w:numPr>
        <w:spacing w:after="120"/>
        <w:ind w:left="1066" w:hanging="357"/>
        <w:contextualSpacing/>
        <w:jc w:val="both"/>
      </w:pPr>
      <w:r>
        <w:t xml:space="preserve">… </w:t>
      </w:r>
      <w:r w:rsidRPr="0073784A">
        <w:rPr>
          <w:color w:val="FF0000"/>
        </w:rPr>
        <w:t xml:space="preserve">Sjekkliste for planlegging </w:t>
      </w:r>
      <w:r w:rsidRPr="0073784A" w:rsidR="0073784A">
        <w:rPr>
          <w:color w:val="FF0000"/>
        </w:rPr>
        <w:t xml:space="preserve">av undervisning og læring for </w:t>
      </w:r>
      <w:r w:rsidRPr="0073784A">
        <w:rPr>
          <w:color w:val="FF0000"/>
        </w:rPr>
        <w:t>undervisningspersonale</w:t>
      </w:r>
      <w:r w:rsidR="0073784A">
        <w:t>.</w:t>
      </w:r>
    </w:p>
    <w:p w:rsidR="000509B9" w:rsidP="0073784A" w14:paraId="16CB5CBF" w14:textId="77777777">
      <w:pPr>
        <w:spacing w:before="240" w:after="120"/>
        <w:contextualSpacing/>
        <w:jc w:val="both"/>
      </w:pPr>
    </w:p>
    <w:p w:rsidR="009E3A68" w:rsidRPr="007D26B5" w:rsidP="009E3A68" w14:paraId="4B836CBE" w14:textId="2A46F083">
      <w:pPr>
        <w:pStyle w:val="Heading2"/>
        <w:ind w:left="142"/>
      </w:pPr>
      <w:bookmarkStart w:id="3" w:name="_Ref188879888"/>
      <w:r>
        <w:t>2.3 E-læring</w:t>
      </w:r>
      <w:bookmarkEnd w:id="3"/>
    </w:p>
    <w:p w:rsidR="005B27EA" w:rsidP="005F4CD4" w14:paraId="02C58D53" w14:textId="24654673">
      <w:pPr>
        <w:spacing w:before="240" w:after="120"/>
        <w:ind w:left="142"/>
        <w:jc w:val="both"/>
      </w:pPr>
      <w:r w:rsidRPr="005B27EA">
        <w:t xml:space="preserve">THYF tilbyr ikke </w:t>
      </w:r>
      <w:r>
        <w:t xml:space="preserve">fullverdige </w:t>
      </w:r>
      <w:r w:rsidRPr="005B27EA">
        <w:t>e-læring</w:t>
      </w:r>
      <w:r>
        <w:t>-program</w:t>
      </w:r>
      <w:r w:rsidRPr="005B27EA">
        <w:t xml:space="preserve"> </w:t>
      </w:r>
      <w:r>
        <w:t xml:space="preserve">slik </w:t>
      </w:r>
      <w:r w:rsidRPr="005B27EA">
        <w:t>d</w:t>
      </w:r>
      <w:r>
        <w:t>iss</w:t>
      </w:r>
      <w:r w:rsidRPr="005B27EA">
        <w:t>e er definert av bl.a. Store Norske Leksikon. Flere av tilbudene ved THYF tilbys imidlertid som nettstøtte</w:t>
      </w:r>
      <w:r>
        <w:t>de</w:t>
      </w:r>
      <w:r w:rsidRPr="005B27EA">
        <w:t xml:space="preserve"> tilbud</w:t>
      </w:r>
      <w:r>
        <w:t>. De</w:t>
      </w:r>
      <w:r w:rsidRPr="005B27EA">
        <w:t xml:space="preserve"> er derfor beslektet med e</w:t>
      </w:r>
      <w:r>
        <w:t>-</w:t>
      </w:r>
      <w:r w:rsidRPr="005B27EA">
        <w:t>læring</w:t>
      </w:r>
      <w:r>
        <w:t xml:space="preserve"> og krav til tilbud via e-læring</w:t>
      </w:r>
      <w:r w:rsidRPr="005B27EA">
        <w:t>.</w:t>
      </w:r>
    </w:p>
    <w:p w:rsidR="00474A02" w:rsidP="005F4CD4" w14:paraId="10BFFEEA" w14:textId="3D19D2F1">
      <w:pPr>
        <w:spacing w:before="240" w:after="120"/>
        <w:ind w:left="142"/>
        <w:jc w:val="both"/>
      </w:pPr>
      <w:r>
        <w:t>E-læring iflg.</w:t>
      </w:r>
      <w:r w:rsidRPr="005B27EA">
        <w:t xml:space="preserve"> Store norske leksikon: </w:t>
      </w:r>
      <w:hyperlink r:id="rId7" w:history="1">
        <w:r w:rsidRPr="001C3F67" w:rsidR="009E3A68">
          <w:rPr>
            <w:rStyle w:val="Hyperlink"/>
          </w:rPr>
          <w:t>https://snl.no/nettbasert_oppl%C3%A6ring</w:t>
        </w:r>
      </w:hyperlink>
      <w:r>
        <w:t xml:space="preserve"> </w:t>
      </w:r>
    </w:p>
    <w:p w:rsidR="005B27EA" w:rsidP="005F4CD4" w14:paraId="61C149B5" w14:textId="7DE0137F">
      <w:pPr>
        <w:spacing w:before="240" w:after="120"/>
        <w:ind w:left="142"/>
        <w:jc w:val="both"/>
      </w:pPr>
      <w:r>
        <w:t>Prosedyre for gjennomføring og etterleve</w:t>
      </w:r>
      <w:r>
        <w:t xml:space="preserve">lse av krav til e-læring i tilknytning til samlingsbaserte </w:t>
      </w:r>
      <w:r>
        <w:t>utdanningstilbud med nettstøtte ivaretar følgende forhold gjennom egen prosedyre</w:t>
      </w:r>
      <w:r w:rsidR="005F4CD4">
        <w:t>.</w:t>
      </w:r>
    </w:p>
    <w:p w:rsidR="005B27EA" w:rsidP="005F4CD4" w14:paraId="7171A6EA" w14:textId="18522FE7">
      <w:pPr>
        <w:spacing w:before="240" w:after="120"/>
        <w:ind w:left="142"/>
        <w:jc w:val="both"/>
      </w:pPr>
      <w:r>
        <w:t>Gjennomføring planlegges og gjennomføres på lik linje med øvrige utdanningstilbud ved THYF, se avsnitt 2.1 og 2.2.</w:t>
      </w:r>
      <w:r w:rsidR="00FF3929">
        <w:t xml:space="preserve"> </w:t>
      </w:r>
      <w:r>
        <w:t xml:space="preserve">Nødvendig informasjon ligger tilgjengelig på digital læringsplattform. </w:t>
      </w:r>
    </w:p>
    <w:p w:rsidR="00FF3929" w:rsidP="005F4CD4" w14:paraId="5B607C43" w14:textId="20A94F0D">
      <w:pPr>
        <w:spacing w:before="240" w:after="120"/>
        <w:ind w:left="142"/>
        <w:jc w:val="both"/>
      </w:pPr>
      <w:r>
        <w:t>Aktuelle dokumenter knyttet til e-læring og tilsvarende undervisning gjennomført for samlingsbaserte utdanninger med nettstøtte:</w:t>
      </w:r>
    </w:p>
    <w:p w:rsidR="00FF3929" w:rsidP="005F4CD4" w14:paraId="73BA16B6" w14:textId="5B7F6B00">
      <w:pPr>
        <w:numPr>
          <w:ilvl w:val="0"/>
          <w:numId w:val="19"/>
        </w:numPr>
        <w:spacing w:before="240" w:after="120"/>
        <w:ind w:hanging="357"/>
        <w:contextualSpacing/>
        <w:jc w:val="both"/>
      </w:pPr>
      <w:r>
        <w:t xml:space="preserve">… </w:t>
      </w:r>
      <w:r w:rsidRPr="00FF3929">
        <w:rPr>
          <w:color w:val="FF0000"/>
        </w:rPr>
        <w:t xml:space="preserve">Planlegging, leveranse </w:t>
      </w:r>
      <w:r w:rsidRPr="00FF3929">
        <w:rPr>
          <w:color w:val="FF0000"/>
        </w:rPr>
        <w:t>og</w:t>
      </w:r>
      <w:r w:rsidRPr="00FF3929">
        <w:rPr>
          <w:color w:val="FF0000"/>
        </w:rPr>
        <w:t xml:space="preserve"> vurdering for utdanninger med nettstøttet læring/e-læring</w:t>
      </w:r>
      <w:r>
        <w:t>.</w:t>
      </w:r>
    </w:p>
    <w:p w:rsidR="00FF3929" w:rsidP="005F4CD4" w14:paraId="3711FF95" w14:textId="10C9156E">
      <w:pPr>
        <w:numPr>
          <w:ilvl w:val="0"/>
          <w:numId w:val="19"/>
        </w:numPr>
        <w:spacing w:before="240" w:after="120"/>
        <w:ind w:hanging="357"/>
        <w:contextualSpacing/>
        <w:jc w:val="both"/>
      </w:pPr>
      <w:r>
        <w:t xml:space="preserve">… </w:t>
      </w:r>
      <w:r w:rsidRPr="0073784A">
        <w:rPr>
          <w:color w:val="FF0000"/>
        </w:rPr>
        <w:t xml:space="preserve">Rettledning for </w:t>
      </w:r>
      <w:r w:rsidRPr="0073784A" w:rsidR="0073784A">
        <w:rPr>
          <w:color w:val="FF0000"/>
        </w:rPr>
        <w:t>bruk av læringsverktøy basert på prinsipper for e-læring i læreprosessen</w:t>
      </w:r>
      <w:r w:rsidR="0073784A">
        <w:t>.</w:t>
      </w:r>
    </w:p>
    <w:p w:rsidR="005B27EA" w:rsidP="005F4CD4" w14:paraId="08FF15BC" w14:textId="70331BB0">
      <w:pPr>
        <w:numPr>
          <w:ilvl w:val="0"/>
          <w:numId w:val="19"/>
        </w:numPr>
        <w:spacing w:before="240" w:after="120"/>
        <w:ind w:hanging="357"/>
        <w:contextualSpacing/>
        <w:jc w:val="both"/>
      </w:pPr>
      <w:r>
        <w:t xml:space="preserve">… </w:t>
      </w:r>
      <w:r w:rsidRPr="000C5518">
        <w:rPr>
          <w:color w:val="FF0000"/>
        </w:rPr>
        <w:t>Rutine for å sikre identifikasjon av deltaker er utarbeidet</w:t>
      </w:r>
      <w:r>
        <w:t>.</w:t>
      </w:r>
    </w:p>
    <w:p w:rsidR="00B86626" w:rsidRPr="009F7EB5" w:rsidP="00E44BC6" w14:paraId="1ED6C585" w14:textId="0D47CE44">
      <w:pPr>
        <w:pStyle w:val="Heading1"/>
        <w:numPr>
          <w:ilvl w:val="0"/>
          <w:numId w:val="3"/>
        </w:numPr>
        <w:spacing w:after="120"/>
        <w:ind w:left="426"/>
        <w:jc w:val="both"/>
      </w:pPr>
      <w:r>
        <w:br w:type="page"/>
      </w:r>
      <w:r w:rsidRPr="009F7EB5" w:rsidR="00C46988">
        <w:t>Referanser</w:t>
      </w:r>
    </w:p>
    <w:p w:rsidR="00A42B73" w:rsidP="00E44BC6" w14:paraId="67FECD11" w14:textId="47565C00">
      <w:pPr>
        <w:spacing w:after="120"/>
        <w:ind w:left="142"/>
        <w:jc w:val="both"/>
      </w:pPr>
      <w:r>
        <w:rPr>
          <w:i/>
          <w:iCs/>
        </w:rPr>
        <w:t xml:space="preserve">Interne </w:t>
      </w:r>
      <w:r w:rsidRPr="00F9677E" w:rsidR="00892B8C">
        <w:rPr>
          <w:i/>
          <w:iCs/>
        </w:rPr>
        <w:t>referanser</w:t>
      </w:r>
      <w:r w:rsidR="00892B8C">
        <w:t xml:space="preserve"> henviser til dokumenter som finnes i THYFs </w:t>
      </w:r>
      <w:r>
        <w:t xml:space="preserve">portal for </w:t>
      </w:r>
      <w:r w:rsidR="00892B8C">
        <w:t xml:space="preserve">ledelsessystem. </w:t>
      </w:r>
      <w:r w:rsidRPr="00F65CB0" w:rsidR="00892B8C">
        <w:rPr>
          <w:i/>
          <w:iCs/>
        </w:rPr>
        <w:t>Eksterne referanser</w:t>
      </w:r>
      <w:r w:rsidR="00892B8C">
        <w:t xml:space="preserve"> henviser til dokumenter som ligger tilgjengelig utenfor ledelsessystemet.</w:t>
      </w:r>
    </w:p>
    <w:p w:rsidR="009F7EB5" w:rsidP="00042D92" w14:paraId="259E6A4C" w14:textId="086151B1">
      <w:pPr>
        <w:spacing w:after="120"/>
        <w:ind w:left="142"/>
        <w:jc w:val="both"/>
      </w:pPr>
      <w:r>
        <w:t>Referanse</w:t>
      </w:r>
      <w:r w:rsidR="00F26C4C">
        <w:t>r</w:t>
      </w:r>
      <w:r>
        <w:t xml:space="preserve"> utgjør viktige systemforbindelser til relaterte dokumenter, skjema, prosessflytdiagram</w:t>
      </w:r>
      <w:r w:rsidR="00F26C4C">
        <w:t>, nettsteder,</w:t>
      </w:r>
      <w:r>
        <w:t xml:space="preserve"> eller annen relevant informasjon</w:t>
      </w:r>
      <w:r w:rsidR="00F26C4C">
        <w:t xml:space="preserve"> som for eksempel lover, forskrifter og standarder</w:t>
      </w:r>
      <w:r>
        <w:t>.</w:t>
      </w:r>
    </w:p>
    <w:p w:rsidR="001C0FFA" w:rsidRPr="007D26B5" w:rsidP="00E44BC6" w14:paraId="02699B6D" w14:textId="3A015A33">
      <w:pPr>
        <w:pStyle w:val="Heading2"/>
        <w:ind w:left="142"/>
      </w:pPr>
      <w:r>
        <w:t xml:space="preserve">Interne </w:t>
      </w:r>
      <w:r w:rsidRPr="007D26B5" w:rsidR="00892B8C"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22"/>
        <w:gridCol w:w="696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426"/>
              <w:rPr>
                <w:b w:val="0"/>
                <w:color w:val="0000FF"/>
                <w:u w:val="single"/>
              </w:rPr>
            </w:pPr>
            <w:bookmarkStart w:id="4" w:name="EK_Referanse"/>
            <w:hyperlink r:id="rId8" w:history="1">
              <w:r>
                <w:rPr>
                  <w:b w:val="0"/>
                  <w:color w:val="0000FF"/>
                  <w:u w:val="single"/>
                </w:rPr>
                <w:t>H-1.3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426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Praksis for opptak ved THYF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426"/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H-.2.4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426"/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Prosesser ved studiestart</w:t>
              </w:r>
            </w:hyperlink>
          </w:p>
        </w:tc>
      </w:tr>
    </w:tbl>
    <w:p w:rsidR="00671862" w:rsidP="007D26B5" w14:paraId="3F009015" w14:textId="77777777">
      <w:pPr>
        <w:ind w:left="426"/>
        <w:rPr>
          <w:b/>
          <w:bCs/>
          <w:szCs w:val="18"/>
        </w:rPr>
      </w:pPr>
      <w:bookmarkEnd w:id="4"/>
    </w:p>
    <w:p w:rsidR="001C0FFA" w:rsidRPr="00CF0617" w:rsidP="00E44BC6" w14:paraId="02699B72" w14:textId="3BEAEFDC">
      <w:pPr>
        <w:pStyle w:val="Heading2"/>
        <w:ind w:left="142"/>
      </w:pPr>
      <w:r w:rsidRPr="00CF0617"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284"/>
              <w:rPr>
                <w:b w:val="0"/>
                <w:color w:val="0000FF"/>
                <w:u w:val="single"/>
              </w:rPr>
            </w:pPr>
            <w:bookmarkStart w:id="5" w:name="EK_EksRef"/>
            <w:hyperlink r:id="rId10" w:history="1">
              <w:r>
                <w:rPr>
                  <w:b w:val="0"/>
                  <w:color w:val="0000FF"/>
                  <w:u w:val="single"/>
                </w:rPr>
                <w:t>1.1.10.5.1 DNV-ST-0029 Section 5.1 Planlegging og ansvarsområder</w:t>
              </w:r>
            </w:hyperlink>
          </w:p>
        </w:tc>
      </w:tr>
    </w:tbl>
    <w:p w:rsidR="001C0FFA" w:rsidRPr="002101AF" w:rsidP="007D26B5" w14:paraId="02699B76" w14:textId="77777777">
      <w:pPr>
        <w:ind w:left="284"/>
        <w:rPr>
          <w:szCs w:val="18"/>
          <w:lang w:val="en-GB"/>
        </w:rPr>
      </w:pPr>
      <w:bookmarkEnd w:id="5"/>
    </w:p>
    <w:p w:rsidR="001C0FFA" w:rsidRPr="002101AF" w14:paraId="02699B77" w14:textId="1DEEDB98">
      <w:pPr>
        <w:rPr>
          <w:szCs w:val="18"/>
          <w:lang w:val="en-GB"/>
        </w:rPr>
      </w:pPr>
    </w:p>
    <w:sectPr>
      <w:headerReference w:type="default" r:id="rId11"/>
      <w:foot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3FD0D8D8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28.08.2025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404C8" w14:paraId="35171158" w14:textId="77777777">
      <w:r>
        <w:separator/>
      </w:r>
    </w:p>
  </w:footnote>
  <w:footnote w:type="continuationSeparator" w:id="1">
    <w:p w:rsidR="008404C8" w14:paraId="5FF398FF" w14:textId="77777777">
      <w:r>
        <w:continuationSeparator/>
      </w:r>
    </w:p>
  </w:footnote>
  <w:footnote w:id="2">
    <w:p w:rsidR="009E3A68" w:rsidRPr="009E3A68" w14:paraId="20267D58" w14:textId="73E8609C">
      <w:pPr>
        <w:pStyle w:val="FootnoteText"/>
        <w:rPr>
          <w:i/>
          <w:iCs/>
          <w:sz w:val="16"/>
          <w:szCs w:val="16"/>
        </w:rPr>
      </w:pPr>
      <w:r w:rsidRPr="009E3A68">
        <w:rPr>
          <w:rStyle w:val="FootnoteReference"/>
          <w:i/>
          <w:iCs/>
          <w:sz w:val="16"/>
          <w:szCs w:val="16"/>
        </w:rPr>
        <w:footnoteRef/>
      </w:r>
      <w:r w:rsidRPr="009E3A68">
        <w:rPr>
          <w:i/>
          <w:iCs/>
          <w:sz w:val="16"/>
          <w:szCs w:val="16"/>
        </w:rPr>
        <w:t xml:space="preserve"> Det kan være aktuelt å kjøre lokale opptak for å øke deltakerantallet opp mot </w:t>
      </w:r>
      <w:r>
        <w:rPr>
          <w:i/>
          <w:iCs/>
          <w:sz w:val="16"/>
          <w:szCs w:val="16"/>
        </w:rPr>
        <w:t xml:space="preserve">gjeldende </w:t>
      </w:r>
      <w:r w:rsidRPr="009E3A68">
        <w:rPr>
          <w:i/>
          <w:iCs/>
          <w:sz w:val="16"/>
          <w:szCs w:val="16"/>
        </w:rPr>
        <w:t>rammetall fastsatt av styret i THYF.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Prosess for levering av undervisning og læring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H-.3.2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rFonts w:ascii="Verdana" w:hAnsi="Verdana"/>
              <w:sz w:val="20"/>
              <w:lang w:val="nb-NO" w:eastAsia="nb-NO" w:bidi="ar-SA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C399C"/>
    <w:multiLevelType w:val="hybridMultilevel"/>
    <w:tmpl w:val="B85656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60E9"/>
    <w:multiLevelType w:val="hybridMultilevel"/>
    <w:tmpl w:val="3D7059BE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D0119F"/>
    <w:multiLevelType w:val="hybridMultilevel"/>
    <w:tmpl w:val="A2924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6D42"/>
    <w:multiLevelType w:val="hybridMultilevel"/>
    <w:tmpl w:val="73DC3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174D4"/>
    <w:multiLevelType w:val="hybridMultilevel"/>
    <w:tmpl w:val="7F1A6A98"/>
    <w:lvl w:ilvl="0">
      <w:start w:val="0"/>
      <w:numFmt w:val="bullet"/>
      <w:lvlText w:val="•"/>
      <w:lvlJc w:val="left"/>
      <w:pPr>
        <w:ind w:left="437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5">
    <w:nsid w:val="428B1EAD"/>
    <w:multiLevelType w:val="hybridMultilevel"/>
    <w:tmpl w:val="A9D0273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10A0C"/>
    <w:multiLevelType w:val="hybridMultilevel"/>
    <w:tmpl w:val="305A5D6A"/>
    <w:lvl w:ilvl="0">
      <w:start w:val="0"/>
      <w:numFmt w:val="bullet"/>
      <w:lvlText w:val="•"/>
      <w:lvlJc w:val="left"/>
      <w:pPr>
        <w:ind w:left="193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459B1540"/>
    <w:multiLevelType w:val="hybridMultilevel"/>
    <w:tmpl w:val="DA0A6CA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73B5827"/>
    <w:multiLevelType w:val="hybridMultilevel"/>
    <w:tmpl w:val="225C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1FA6"/>
    <w:multiLevelType w:val="hybridMultilevel"/>
    <w:tmpl w:val="DAB009D6"/>
    <w:lvl w:ilvl="0">
      <w:start w:val="0"/>
      <w:numFmt w:val="bullet"/>
      <w:lvlText w:val="•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51CB2D63"/>
    <w:multiLevelType w:val="hybridMultilevel"/>
    <w:tmpl w:val="BE22CB98"/>
    <w:lvl w:ilvl="0">
      <w:start w:val="0"/>
      <w:numFmt w:val="bullet"/>
      <w:lvlText w:val="•"/>
      <w:lvlJc w:val="left"/>
      <w:pPr>
        <w:ind w:left="712" w:hanging="57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5BF3585"/>
    <w:multiLevelType w:val="hybridMultilevel"/>
    <w:tmpl w:val="E708C09E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FB44EC2"/>
    <w:multiLevelType w:val="hybridMultilevel"/>
    <w:tmpl w:val="3C6ED1DE"/>
    <w:lvl w:ilvl="0">
      <w:start w:val="0"/>
      <w:numFmt w:val="bullet"/>
      <w:lvlText w:val="•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62E956CC"/>
    <w:multiLevelType w:val="hybridMultilevel"/>
    <w:tmpl w:val="BE9E5EFC"/>
    <w:lvl w:ilvl="0">
      <w:start w:val="0"/>
      <w:numFmt w:val="bullet"/>
      <w:lvlText w:val="•"/>
      <w:lvlJc w:val="left"/>
      <w:pPr>
        <w:ind w:left="859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482169F"/>
    <w:multiLevelType w:val="hybridMultilevel"/>
    <w:tmpl w:val="0A80247C"/>
    <w:lvl w:ilvl="0">
      <w:start w:val="0"/>
      <w:numFmt w:val="bullet"/>
      <w:lvlText w:val="•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65A77CC9"/>
    <w:multiLevelType w:val="hybridMultilevel"/>
    <w:tmpl w:val="05AA9E6E"/>
    <w:lvl w:ilvl="0">
      <w:start w:val="0"/>
      <w:numFmt w:val="bullet"/>
      <w:lvlText w:val="•"/>
      <w:lvlJc w:val="left"/>
      <w:pPr>
        <w:ind w:left="1001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6">
    <w:nsid w:val="6D5933C9"/>
    <w:multiLevelType w:val="hybridMultilevel"/>
    <w:tmpl w:val="2A40629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57086"/>
    <w:multiLevelType w:val="hybridMultilevel"/>
    <w:tmpl w:val="25D6E5EC"/>
    <w:lvl w:ilvl="0">
      <w:start w:val="0"/>
      <w:numFmt w:val="bullet"/>
      <w:lvlText w:val="•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0437FA"/>
    <w:multiLevelType w:val="hybridMultilevel"/>
    <w:tmpl w:val="9104AB3C"/>
    <w:lvl w:ilvl="0">
      <w:start w:val="0"/>
      <w:numFmt w:val="bullet"/>
      <w:lvlText w:val="•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40489323">
    <w:abstractNumId w:val="3"/>
  </w:num>
  <w:num w:numId="2" w16cid:durableId="1829782046">
    <w:abstractNumId w:val="5"/>
  </w:num>
  <w:num w:numId="3" w16cid:durableId="1572885599">
    <w:abstractNumId w:val="2"/>
  </w:num>
  <w:num w:numId="4" w16cid:durableId="393701951">
    <w:abstractNumId w:val="8"/>
  </w:num>
  <w:num w:numId="5" w16cid:durableId="1510482899">
    <w:abstractNumId w:val="0"/>
  </w:num>
  <w:num w:numId="6" w16cid:durableId="940457103">
    <w:abstractNumId w:val="16"/>
  </w:num>
  <w:num w:numId="7" w16cid:durableId="1828281354">
    <w:abstractNumId w:val="7"/>
  </w:num>
  <w:num w:numId="8" w16cid:durableId="620307463">
    <w:abstractNumId w:val="10"/>
  </w:num>
  <w:num w:numId="9" w16cid:durableId="2084523144">
    <w:abstractNumId w:val="11"/>
  </w:num>
  <w:num w:numId="10" w16cid:durableId="692268498">
    <w:abstractNumId w:val="18"/>
  </w:num>
  <w:num w:numId="11" w16cid:durableId="379288142">
    <w:abstractNumId w:val="13"/>
  </w:num>
  <w:num w:numId="12" w16cid:durableId="612707044">
    <w:abstractNumId w:val="4"/>
  </w:num>
  <w:num w:numId="13" w16cid:durableId="280839093">
    <w:abstractNumId w:val="6"/>
  </w:num>
  <w:num w:numId="14" w16cid:durableId="900214515">
    <w:abstractNumId w:val="9"/>
  </w:num>
  <w:num w:numId="15" w16cid:durableId="1133598591">
    <w:abstractNumId w:val="17"/>
  </w:num>
  <w:num w:numId="16" w16cid:durableId="1244409817">
    <w:abstractNumId w:val="15"/>
  </w:num>
  <w:num w:numId="17" w16cid:durableId="1062602230">
    <w:abstractNumId w:val="12"/>
  </w:num>
  <w:num w:numId="18" w16cid:durableId="1170676736">
    <w:abstractNumId w:val="14"/>
  </w:num>
  <w:num w:numId="19" w16cid:durableId="83257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42D92"/>
    <w:rsid w:val="000509B9"/>
    <w:rsid w:val="00052137"/>
    <w:rsid w:val="00061C96"/>
    <w:rsid w:val="00064B5B"/>
    <w:rsid w:val="000C5518"/>
    <w:rsid w:val="000E1DDE"/>
    <w:rsid w:val="000F306C"/>
    <w:rsid w:val="000F3BF2"/>
    <w:rsid w:val="001009AC"/>
    <w:rsid w:val="0011320D"/>
    <w:rsid w:val="00181BD2"/>
    <w:rsid w:val="001A2ECE"/>
    <w:rsid w:val="001A500E"/>
    <w:rsid w:val="001C0FFA"/>
    <w:rsid w:val="001C3F67"/>
    <w:rsid w:val="001E047B"/>
    <w:rsid w:val="002101AF"/>
    <w:rsid w:val="002646B1"/>
    <w:rsid w:val="00265295"/>
    <w:rsid w:val="00280477"/>
    <w:rsid w:val="00357DD4"/>
    <w:rsid w:val="003D4093"/>
    <w:rsid w:val="00412DCE"/>
    <w:rsid w:val="00415440"/>
    <w:rsid w:val="004371C5"/>
    <w:rsid w:val="00454B66"/>
    <w:rsid w:val="00463B24"/>
    <w:rsid w:val="00473133"/>
    <w:rsid w:val="00474A02"/>
    <w:rsid w:val="004A1508"/>
    <w:rsid w:val="004F400D"/>
    <w:rsid w:val="005037FB"/>
    <w:rsid w:val="00560190"/>
    <w:rsid w:val="00580AD8"/>
    <w:rsid w:val="00593ADB"/>
    <w:rsid w:val="0059523A"/>
    <w:rsid w:val="005B27EA"/>
    <w:rsid w:val="005D217C"/>
    <w:rsid w:val="005F4CD4"/>
    <w:rsid w:val="005F7187"/>
    <w:rsid w:val="006458B4"/>
    <w:rsid w:val="0065450F"/>
    <w:rsid w:val="00665A4D"/>
    <w:rsid w:val="00671862"/>
    <w:rsid w:val="0073784A"/>
    <w:rsid w:val="0075102E"/>
    <w:rsid w:val="00781062"/>
    <w:rsid w:val="00784455"/>
    <w:rsid w:val="007A72CF"/>
    <w:rsid w:val="007D26B5"/>
    <w:rsid w:val="00816FE3"/>
    <w:rsid w:val="008404C8"/>
    <w:rsid w:val="0087577E"/>
    <w:rsid w:val="0088003E"/>
    <w:rsid w:val="00892B8C"/>
    <w:rsid w:val="008A09F7"/>
    <w:rsid w:val="00912FEC"/>
    <w:rsid w:val="0091552D"/>
    <w:rsid w:val="0092756B"/>
    <w:rsid w:val="0095797D"/>
    <w:rsid w:val="00994961"/>
    <w:rsid w:val="009B7220"/>
    <w:rsid w:val="009E3A68"/>
    <w:rsid w:val="009F7EB5"/>
    <w:rsid w:val="00A42B73"/>
    <w:rsid w:val="00A768B1"/>
    <w:rsid w:val="00A827C1"/>
    <w:rsid w:val="00A90694"/>
    <w:rsid w:val="00AF0D36"/>
    <w:rsid w:val="00B34821"/>
    <w:rsid w:val="00B3769A"/>
    <w:rsid w:val="00B44987"/>
    <w:rsid w:val="00B52953"/>
    <w:rsid w:val="00B74E4F"/>
    <w:rsid w:val="00B802D2"/>
    <w:rsid w:val="00B84574"/>
    <w:rsid w:val="00B86626"/>
    <w:rsid w:val="00B926C6"/>
    <w:rsid w:val="00B95694"/>
    <w:rsid w:val="00BC3D00"/>
    <w:rsid w:val="00BE2B53"/>
    <w:rsid w:val="00BF75FB"/>
    <w:rsid w:val="00C460D8"/>
    <w:rsid w:val="00C46988"/>
    <w:rsid w:val="00C80B66"/>
    <w:rsid w:val="00C844BC"/>
    <w:rsid w:val="00CC0A69"/>
    <w:rsid w:val="00CC173A"/>
    <w:rsid w:val="00CD5A4D"/>
    <w:rsid w:val="00CF0617"/>
    <w:rsid w:val="00D11A96"/>
    <w:rsid w:val="00D24256"/>
    <w:rsid w:val="00D6432B"/>
    <w:rsid w:val="00D72127"/>
    <w:rsid w:val="00E07E05"/>
    <w:rsid w:val="00E31228"/>
    <w:rsid w:val="00E34F49"/>
    <w:rsid w:val="00E44BC6"/>
    <w:rsid w:val="00E523A6"/>
    <w:rsid w:val="00F11839"/>
    <w:rsid w:val="00F26C4C"/>
    <w:rsid w:val="00F60869"/>
    <w:rsid w:val="00F65CB0"/>
    <w:rsid w:val="00F75EEF"/>
    <w:rsid w:val="00F9677E"/>
    <w:rsid w:val="00FA5C47"/>
    <w:rsid w:val="00FF3929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73133"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0E1DDE"/>
    <w:pPr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D26B5"/>
    <w:p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6626"/>
    <w:pPr>
      <w:ind w:left="708"/>
    </w:pPr>
  </w:style>
  <w:style w:type="paragraph" w:styleId="FootnoteText">
    <w:name w:val="footnote text"/>
    <w:basedOn w:val="Normal"/>
    <w:link w:val="FotnotetekstTegn"/>
    <w:rsid w:val="00357DD4"/>
    <w:rPr>
      <w:sz w:val="20"/>
    </w:rPr>
  </w:style>
  <w:style w:type="character" w:customStyle="1" w:styleId="FotnotetekstTegn">
    <w:name w:val="Fotnotetekst Tegn"/>
    <w:basedOn w:val="DefaultParagraphFont"/>
    <w:link w:val="FootnoteText"/>
    <w:rsid w:val="00357DD4"/>
    <w:rPr>
      <w:rFonts w:ascii="Verdana" w:hAnsi="Verdana"/>
    </w:rPr>
  </w:style>
  <w:style w:type="character" w:styleId="FootnoteReference">
    <w:name w:val="footnote reference"/>
    <w:basedOn w:val="DefaultParagraphFont"/>
    <w:rsid w:val="00357DD4"/>
    <w:rPr>
      <w:vertAlign w:val="superscript"/>
    </w:rPr>
  </w:style>
  <w:style w:type="character" w:styleId="Hyperlink">
    <w:name w:val="Hyperlink"/>
    <w:basedOn w:val="DefaultParagraphFont"/>
    <w:rsid w:val="005B27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5B2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standards.dnv.com/explorer/document/F63D7FA6C45F460DA09A0DBEFB1C4C1F/4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jpeg" /><Relationship Id="rId7" Type="http://schemas.openxmlformats.org/officeDocument/2006/relationships/hyperlink" Target="https://snl.no/nettbasert_oppl%C3%A6ring" TargetMode="External" /><Relationship Id="rId8" Type="http://schemas.openxmlformats.org/officeDocument/2006/relationships/hyperlink" Target="https://thyf-ekstern.dkhosting.no/docs/pub/DOK00361.pdf" TargetMode="External" /><Relationship Id="rId9" Type="http://schemas.openxmlformats.org/officeDocument/2006/relationships/hyperlink" Target="https://thyf-ekstern.dkhosting.no/docs/pub/DOK00362.pdf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F93E2-27D2-4080-9952-661F6D4E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453</TotalTime>
  <Pages>3</Pages>
  <Words>1016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Prosess for levering av undervisning og læring</vt:lpstr>
      <vt:lpstr>	</vt:lpstr>
    </vt:vector>
  </TitlesOfParts>
  <Company>Datakvalitet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Prosess for levering av undervisning og læring</dc:title>
  <dc:subject>&lt;Ny mal opprettet av JSS&gt;|[RefNr]|</dc:subject>
  <dc:creator>Handbok</dc:creator>
  <cp:lastModifiedBy>Hans Tore Mikkelsen</cp:lastModifiedBy>
  <cp:revision>29</cp:revision>
  <cp:lastPrinted>2024-04-29T13:04:00Z</cp:lastPrinted>
  <dcterms:created xsi:type="dcterms:W3CDTF">2020-01-20T07:07:00Z</dcterms:created>
  <dcterms:modified xsi:type="dcterms:W3CDTF">2025-01-28T18:15:00Z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ype">
    <vt:lpwstr>[Dokumenttype]</vt:lpwstr>
  </property>
  <property fmtid="{D5CDD505-2E9C-101B-9397-08002B2CF9AE}" pid="3" name="EK_Bedriftsnavn">
    <vt:lpwstr>TRØNDELAG HØYERE YRKESFAGSKOLE avd. TRONDHEIM</vt:lpwstr>
  </property>
  <property fmtid="{D5CDD505-2E9C-101B-9397-08002B2CF9AE}" pid="4" name="EK_DokTittel">
    <vt:lpwstr>Prosess for levering av undervisning og læring</vt:lpwstr>
  </property>
  <property fmtid="{D5CDD505-2E9C-101B-9397-08002B2CF9AE}" pid="5" name="EK_DokType">
    <vt:lpwstr>Prosessbeskrivelse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30.01.2025</vt:lpwstr>
  </property>
  <property fmtid="{D5CDD505-2E9C-101B-9397-08002B2CF9AE}" pid="8" name="EK_GjelderTil">
    <vt:lpwstr>30.01.2026</vt:lpwstr>
  </property>
  <property fmtid="{D5CDD505-2E9C-101B-9397-08002B2CF9AE}" pid="9" name="EK_RefNr">
    <vt:lpwstr>H-.3.2</vt:lpwstr>
  </property>
  <property fmtid="{D5CDD505-2E9C-101B-9397-08002B2CF9AE}" pid="10" name="EK_Signatur">
    <vt:lpwstr>Ikke styrt</vt:lpwstr>
  </property>
  <property fmtid="{D5CDD505-2E9C-101B-9397-08002B2CF9AE}" pid="11" name="EK_SkrevetAv">
    <vt:lpwstr>Hans Tore Mikkelsen</vt:lpwstr>
  </property>
  <property fmtid="{D5CDD505-2E9C-101B-9397-08002B2CF9AE}" pid="12" name="EK_Utgave">
    <vt:lpwstr>0.00</vt:lpwstr>
  </property>
  <property fmtid="{D5CDD505-2E9C-101B-9397-08002B2CF9AE}" pid="13" name="EK_Watermark">
    <vt:lpwstr>[Vannmerke]</vt:lpwstr>
  </property>
  <property fmtid="{D5CDD505-2E9C-101B-9397-08002B2CF9AE}" pid="14" name="XD00361">
    <vt:lpwstr>H-1.3</vt:lpwstr>
  </property>
  <property fmtid="{D5CDD505-2E9C-101B-9397-08002B2CF9AE}" pid="15" name="XD00362">
    <vt:lpwstr>H-.2.4</vt:lpwstr>
  </property>
  <property fmtid="{D5CDD505-2E9C-101B-9397-08002B2CF9AE}" pid="16" name="XDF00361">
    <vt:lpwstr>Praksis for opptak ved THYF</vt:lpwstr>
  </property>
  <property fmtid="{D5CDD505-2E9C-101B-9397-08002B2CF9AE}" pid="17" name="XDF00362">
    <vt:lpwstr>Prosesser ved studiestart</vt:lpwstr>
  </property>
  <property fmtid="{D5CDD505-2E9C-101B-9397-08002B2CF9AE}" pid="18" name="XDL00361">
    <vt:lpwstr>H-1.3 Praksis for opptak ved THYF</vt:lpwstr>
  </property>
  <property fmtid="{D5CDD505-2E9C-101B-9397-08002B2CF9AE}" pid="19" name="XDL00362">
    <vt:lpwstr>H-.2.4 Prosesser ved studiestart</vt:lpwstr>
  </property>
  <property fmtid="{D5CDD505-2E9C-101B-9397-08002B2CF9AE}" pid="20" name="XDT00361">
    <vt:lpwstr>Praksis for opptak ved THYF</vt:lpwstr>
  </property>
  <property fmtid="{D5CDD505-2E9C-101B-9397-08002B2CF9AE}" pid="21" name="XDT00362">
    <vt:lpwstr>Prosesser ved studiestart</vt:lpwstr>
  </property>
  <property fmtid="{D5CDD505-2E9C-101B-9397-08002B2CF9AE}" pid="22" name="XR00259">
    <vt:lpwstr>1.1.10.5.1</vt:lpwstr>
  </property>
  <property fmtid="{D5CDD505-2E9C-101B-9397-08002B2CF9AE}" pid="23" name="XRF00259">
    <vt:lpwstr>DNV-ST-0029 Section 5.1 Planlegging og ansvarsområder</vt:lpwstr>
  </property>
  <property fmtid="{D5CDD505-2E9C-101B-9397-08002B2CF9AE}" pid="24" name="XRL00259">
    <vt:lpwstr>1.1.10.5.1 DNV-ST-0029 Section 5.1 Planlegging og ansvarsområder</vt:lpwstr>
  </property>
  <property fmtid="{D5CDD505-2E9C-101B-9397-08002B2CF9AE}" pid="25" name="XRT00259">
    <vt:lpwstr>DNV-ST-0029 Section 5.1 Planlegging og ansvarsområder</vt:lpwstr>
  </property>
</Properties>
</file>