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
      <w:tblGrid>
        <w:gridCol w:w="993"/>
        <w:gridCol w:w="2268"/>
        <w:gridCol w:w="1417"/>
        <w:gridCol w:w="1559"/>
        <w:gridCol w:w="709"/>
        <w:gridCol w:w="2268"/>
      </w:tblGrid>
      <w:tr w14:paraId="02699B59" w14:textId="77777777" w:rsidTr="00560190">
        <w:tblPrEx>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Ex>
        <w:trPr>
          <w:cantSplit/>
          <w:trHeight w:val="964"/>
        </w:trPr>
        <w:tc>
          <w:tcPr>
            <w:tcW w:w="6946" w:type="dxa"/>
            <w:gridSpan w:val="5"/>
            <w:tcBorders>
              <w:top w:val="single" w:sz="12" w:space="0" w:color="auto"/>
              <w:bottom w:val="single" w:sz="6" w:space="0" w:color="auto"/>
              <w:right w:val="single" w:sz="6" w:space="0" w:color="auto"/>
            </w:tcBorders>
          </w:tcPr>
          <w:p w:rsidR="001C0FFA" w:rsidRPr="00CF0617" w:rsidP="00F65CB0" w14:paraId="02699B57" w14:textId="3FF06DE1">
            <w:pPr>
              <w:spacing w:before="120" w:after="120"/>
              <w:rPr>
                <w:rFonts w:ascii="Oswald" w:hAnsi="Oswald"/>
                <w:b/>
                <w:sz w:val="28"/>
              </w:rPr>
            </w:pPr>
            <w:r>
              <w:rPr>
                <w:b/>
                <w:sz w:val="28"/>
              </w:rPr>
              <w:t xml:space="preserve"> </w:t>
            </w: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36.75pt">
                  <v:imagedata r:id="rId6" o:title="Logo THYF" croptop="5730f"/>
                </v:shape>
              </w:pict>
            </w:r>
          </w:p>
        </w:tc>
        <w:tc>
          <w:tcPr>
            <w:tcW w:w="2268" w:type="dxa"/>
            <w:tcBorders>
              <w:top w:val="single" w:sz="12" w:space="0" w:color="auto"/>
              <w:left w:val="nil"/>
              <w:bottom w:val="single" w:sz="6" w:space="0" w:color="auto"/>
            </w:tcBorders>
          </w:tcPr>
          <w:p w:rsidR="00D6432B" w:rsidP="00D6432B" w14:paraId="6A5E3522" w14:textId="2F59A1C4">
            <w:pPr>
              <w:spacing w:after="120"/>
              <w:rPr>
                <w:sz w:val="16"/>
              </w:rPr>
            </w:pPr>
            <w:r w:rsidRPr="00560190">
              <w:rPr>
                <w:sz w:val="16"/>
              </w:rPr>
              <w:t>Side</w:t>
            </w:r>
            <w:r w:rsidR="00D11A96">
              <w:rPr>
                <w:sz w:val="16"/>
              </w:rPr>
              <w:t>nr</w:t>
            </w:r>
            <w:r w:rsidR="00D11A96">
              <w:rPr>
                <w:sz w:val="16"/>
              </w:rPr>
              <w:t>.</w:t>
            </w:r>
            <w:r w:rsidRPr="00560190">
              <w:rPr>
                <w:sz w:val="16"/>
              </w:rPr>
              <w:t>:</w:t>
            </w:r>
            <w:r>
              <w:rPr>
                <w:sz w:val="16"/>
              </w:rPr>
              <w:t xml:space="preserve"> </w:t>
            </w:r>
            <w:r w:rsidRPr="00560190">
              <w:rPr>
                <w:szCs w:val="18"/>
              </w:rPr>
              <w:fldChar w:fldCharType="begin"/>
            </w:r>
            <w:r w:rsidRPr="00560190">
              <w:rPr>
                <w:szCs w:val="18"/>
              </w:rPr>
              <w:instrText xml:space="preserve">PAGE </w:instrText>
            </w:r>
            <w:r w:rsidRPr="00560190">
              <w:rPr>
                <w:szCs w:val="18"/>
              </w:rPr>
              <w:fldChar w:fldCharType="separate"/>
            </w:r>
            <w:r w:rsidRPr="00560190">
              <w:rPr>
                <w:szCs w:val="18"/>
              </w:rPr>
              <w:t>1</w:t>
            </w:r>
            <w:r w:rsidRPr="00560190">
              <w:rPr>
                <w:szCs w:val="18"/>
              </w:rPr>
              <w:fldChar w:fldCharType="end"/>
            </w:r>
            <w:r w:rsidRPr="00560190">
              <w:rPr>
                <w:szCs w:val="18"/>
              </w:rPr>
              <w:t xml:space="preserve"> av </w:t>
            </w:r>
            <w:r w:rsidRPr="00560190">
              <w:rPr>
                <w:szCs w:val="18"/>
              </w:rPr>
              <w:fldChar w:fldCharType="begin"/>
            </w:r>
            <w:r w:rsidRPr="00560190">
              <w:rPr>
                <w:szCs w:val="18"/>
              </w:rPr>
              <w:instrText>NUMPAGES</w:instrText>
            </w:r>
            <w:r w:rsidRPr="00560190">
              <w:rPr>
                <w:szCs w:val="18"/>
              </w:rPr>
              <w:fldChar w:fldCharType="separate"/>
            </w:r>
            <w:r w:rsidRPr="00560190">
              <w:rPr>
                <w:szCs w:val="18"/>
              </w:rPr>
              <w:t>3</w:t>
            </w:r>
            <w:r w:rsidRPr="00560190">
              <w:rPr>
                <w:szCs w:val="18"/>
              </w:rPr>
              <w:fldChar w:fldCharType="end"/>
            </w:r>
          </w:p>
          <w:p w:rsidR="00052137" w:rsidRPr="00D6432B" w:rsidP="00D6432B" w14:paraId="02699B58" w14:textId="10410778">
            <w:pPr>
              <w:spacing w:before="120"/>
              <w:rPr>
                <w:sz w:val="20"/>
              </w:rPr>
            </w:pPr>
            <w:r w:rsidRPr="00560190">
              <w:rPr>
                <w:sz w:val="16"/>
              </w:rPr>
              <w:t>Dok.id.:</w:t>
            </w:r>
            <w:r w:rsidRPr="00CF0617">
              <w:rPr>
                <w:sz w:val="16"/>
              </w:rPr>
              <w:t xml:space="preserve"> </w:t>
            </w:r>
            <w:r w:rsidRPr="00560190">
              <w:rPr>
                <w:b/>
                <w:bCs/>
                <w:szCs w:val="18"/>
              </w:rPr>
              <w:fldChar w:fldCharType="begin" w:fldLock="1"/>
            </w:r>
            <w:r w:rsidRPr="00560190">
              <w:rPr>
                <w:b/>
                <w:bCs/>
                <w:szCs w:val="18"/>
              </w:rPr>
              <w:instrText xml:space="preserve"> DOCPROPERTY EK_RefNr </w:instrText>
            </w:r>
            <w:r w:rsidRPr="00560190">
              <w:rPr>
                <w:b/>
                <w:bCs/>
                <w:szCs w:val="18"/>
              </w:rPr>
              <w:fldChar w:fldCharType="separate"/>
            </w:r>
            <w:r w:rsidRPr="00560190">
              <w:rPr>
                <w:b/>
                <w:bCs/>
                <w:szCs w:val="18"/>
              </w:rPr>
              <w:t>H-1.1</w:t>
            </w:r>
            <w:r w:rsidRPr="00560190">
              <w:rPr>
                <w:b/>
                <w:bCs/>
                <w:szCs w:val="18"/>
              </w:rPr>
              <w:fldChar w:fldCharType="end"/>
            </w:r>
          </w:p>
        </w:tc>
      </w:tr>
      <w:tr w14:paraId="02699B5C" w14:textId="77777777" w:rsidTr="00560190">
        <w:tblPrEx>
          <w:tblW w:w="9214" w:type="dxa"/>
          <w:tblInd w:w="71" w:type="dxa"/>
          <w:tblLayout w:type="fixed"/>
          <w:tblCellMar>
            <w:left w:w="71" w:type="dxa"/>
            <w:right w:w="71" w:type="dxa"/>
          </w:tblCellMar>
          <w:tblLook w:val="0000"/>
        </w:tblPrEx>
        <w:trPr>
          <w:cantSplit/>
        </w:trPr>
        <w:tc>
          <w:tcPr>
            <w:tcW w:w="6946" w:type="dxa"/>
            <w:gridSpan w:val="5"/>
            <w:tcBorders>
              <w:top w:val="single" w:sz="6" w:space="0" w:color="auto"/>
              <w:bottom w:val="single" w:sz="6" w:space="0" w:color="auto"/>
              <w:right w:val="single" w:sz="6" w:space="0" w:color="auto"/>
            </w:tcBorders>
          </w:tcPr>
          <w:p w:rsidR="001C0FFA" w:rsidRPr="001A2ECE" w14:paraId="02699B5A" w14:textId="77777777">
            <w:pPr>
              <w:spacing w:before="80" w:after="80"/>
              <w:rPr>
                <w:b/>
              </w:rPr>
            </w:pPr>
            <w:r w:rsidRPr="001A2ECE">
              <w:rPr>
                <w:b/>
                <w:sz w:val="22"/>
                <w:szCs w:val="24"/>
              </w:rPr>
              <w:fldChar w:fldCharType="begin" w:fldLock="1"/>
            </w:r>
            <w:r w:rsidRPr="001A2ECE">
              <w:rPr>
                <w:b/>
                <w:sz w:val="22"/>
                <w:szCs w:val="24"/>
              </w:rPr>
              <w:instrText xml:space="preserve"> DOCPROPERTY EK_DokTittel </w:instrText>
            </w:r>
            <w:r w:rsidRPr="001A2ECE">
              <w:rPr>
                <w:b/>
                <w:sz w:val="22"/>
                <w:szCs w:val="24"/>
              </w:rPr>
              <w:fldChar w:fldCharType="separate"/>
            </w:r>
            <w:r w:rsidRPr="001A2ECE">
              <w:rPr>
                <w:b/>
                <w:sz w:val="22"/>
                <w:szCs w:val="24"/>
              </w:rPr>
              <w:t>Praksis for opptak ved THYF</w:t>
            </w:r>
            <w:r w:rsidRPr="001A2ECE">
              <w:rPr>
                <w:b/>
                <w:sz w:val="22"/>
                <w:szCs w:val="24"/>
              </w:rPr>
              <w:fldChar w:fldCharType="end"/>
            </w:r>
            <w:bookmarkStart w:id="0" w:name="tempHer"/>
            <w:bookmarkEnd w:id="0"/>
          </w:p>
        </w:tc>
        <w:tc>
          <w:tcPr>
            <w:tcW w:w="2268" w:type="dxa"/>
            <w:tcBorders>
              <w:top w:val="single" w:sz="6" w:space="0" w:color="auto"/>
              <w:left w:val="nil"/>
              <w:bottom w:val="single" w:sz="6" w:space="0" w:color="auto"/>
            </w:tcBorders>
          </w:tcPr>
          <w:p w:rsidR="001A2ECE" w:rsidRPr="004A1508" w14:paraId="02699B5B" w14:textId="5970CC4A">
            <w:pPr>
              <w:spacing w:before="80" w:after="80"/>
              <w:rPr>
                <w:b/>
                <w:bCs/>
              </w:rPr>
            </w:pPr>
            <w:r w:rsidRPr="004A1508">
              <w:rPr>
                <w:b/>
                <w:bCs/>
              </w:rPr>
              <w:fldChar w:fldCharType="begin" w:fldLock="1"/>
            </w:r>
            <w:r w:rsidRPr="004A1508">
              <w:rPr>
                <w:b/>
                <w:bCs/>
              </w:rPr>
              <w:instrText>DOCPROPERTY EK_DokType \*charformat \* MERGEFORMAT</w:instrText>
            </w:r>
            <w:r w:rsidRPr="004A1508">
              <w:rPr>
                <w:b/>
                <w:bCs/>
              </w:rPr>
              <w:fldChar w:fldCharType="separate"/>
            </w:r>
            <w:r w:rsidRPr="004A1508">
              <w:rPr>
                <w:b/>
                <w:bCs/>
                <w:noProof/>
              </w:rPr>
              <w:t>Prosessbeskrivelse</w:t>
            </w:r>
            <w:r w:rsidRPr="004A1508">
              <w:rPr>
                <w:b/>
                <w:bCs/>
              </w:rPr>
              <w:fldChar w:fldCharType="end"/>
            </w:r>
          </w:p>
        </w:tc>
      </w:tr>
      <w:tr w14:paraId="02699B67" w14:textId="77777777" w:rsidTr="00D6432B">
        <w:tblPrEx>
          <w:tblW w:w="9214" w:type="dxa"/>
          <w:tblInd w:w="71" w:type="dxa"/>
          <w:tblLayout w:type="fixed"/>
          <w:tblCellMar>
            <w:left w:w="56" w:type="dxa"/>
            <w:right w:w="56" w:type="dxa"/>
          </w:tblCellMar>
          <w:tblLook w:val="0000"/>
        </w:tblPrEx>
        <w:trPr>
          <w:cantSplit/>
        </w:trPr>
        <w:tc>
          <w:tcPr>
            <w:tcW w:w="993" w:type="dxa"/>
            <w:tcBorders>
              <w:top w:val="nil"/>
              <w:bottom w:val="single" w:sz="12" w:space="0" w:color="auto"/>
              <w:right w:val="nil"/>
            </w:tcBorders>
          </w:tcPr>
          <w:p w:rsidR="00D6432B" w:rsidRPr="00560190" w:rsidP="00D6432B" w14:paraId="02699B5D" w14:textId="77777777">
            <w:pPr>
              <w:rPr>
                <w:sz w:val="20"/>
              </w:rPr>
            </w:pPr>
            <w:r w:rsidRPr="00560190">
              <w:rPr>
                <w:sz w:val="16"/>
              </w:rPr>
              <w:t>Utgave:</w:t>
            </w:r>
          </w:p>
          <w:p w:rsidR="00D6432B" w:rsidRPr="00560190" w:rsidP="00D6432B" w14:paraId="02699B5E" w14:textId="77777777">
            <w:pPr>
              <w:jc w:val="center"/>
              <w:rPr>
                <w:sz w:val="20"/>
              </w:rPr>
            </w:pPr>
            <w:r w:rsidRPr="00560190">
              <w:rPr>
                <w:szCs w:val="18"/>
              </w:rPr>
              <w:fldChar w:fldCharType="begin" w:fldLock="1"/>
            </w:r>
            <w:r w:rsidRPr="00560190">
              <w:rPr>
                <w:szCs w:val="18"/>
              </w:rPr>
              <w:instrText xml:space="preserve"> DOCPROPERTY EK_Utgave </w:instrText>
            </w:r>
            <w:r w:rsidRPr="00560190">
              <w:rPr>
                <w:szCs w:val="18"/>
              </w:rPr>
              <w:fldChar w:fldCharType="separate"/>
            </w:r>
            <w:r w:rsidRPr="00560190">
              <w:rPr>
                <w:szCs w:val="18"/>
              </w:rPr>
              <w:t>1.00</w:t>
            </w:r>
            <w:r w:rsidRPr="00560190">
              <w:rPr>
                <w:szCs w:val="18"/>
              </w:rPr>
              <w:fldChar w:fldCharType="end"/>
            </w:r>
          </w:p>
        </w:tc>
        <w:tc>
          <w:tcPr>
            <w:tcW w:w="2268" w:type="dxa"/>
            <w:tcBorders>
              <w:top w:val="nil"/>
              <w:left w:val="single" w:sz="6" w:space="0" w:color="auto"/>
              <w:bottom w:val="single" w:sz="12" w:space="0" w:color="auto"/>
              <w:right w:val="nil"/>
            </w:tcBorders>
          </w:tcPr>
          <w:p w:rsidR="00D6432B" w:rsidRPr="00560190" w:rsidP="00D6432B" w14:paraId="02699B5F" w14:textId="77777777">
            <w:pPr>
              <w:rPr>
                <w:sz w:val="20"/>
              </w:rPr>
            </w:pPr>
            <w:r w:rsidRPr="00560190">
              <w:rPr>
                <w:sz w:val="16"/>
              </w:rPr>
              <w:t>Skrevet av:</w:t>
            </w:r>
          </w:p>
          <w:p w:rsidR="00D6432B" w:rsidRPr="00560190" w:rsidP="00D6432B" w14:paraId="02699B60" w14:textId="77777777">
            <w:pPr>
              <w:jc w:val="center"/>
              <w:rPr>
                <w:sz w:val="20"/>
              </w:rPr>
            </w:pPr>
            <w:r w:rsidRPr="00560190">
              <w:rPr>
                <w:szCs w:val="18"/>
              </w:rPr>
              <w:fldChar w:fldCharType="begin" w:fldLock="1"/>
            </w:r>
            <w:r w:rsidRPr="00560190">
              <w:rPr>
                <w:szCs w:val="18"/>
              </w:rPr>
              <w:instrText xml:space="preserve"> DOCPROPERTY EK_SkrevetAv </w:instrText>
            </w:r>
            <w:r w:rsidRPr="00560190">
              <w:rPr>
                <w:szCs w:val="18"/>
              </w:rPr>
              <w:fldChar w:fldCharType="separate"/>
            </w:r>
            <w:r w:rsidRPr="00560190">
              <w:rPr>
                <w:szCs w:val="18"/>
              </w:rPr>
              <w:t>Hans Tore Mikkelsen</w:t>
            </w:r>
            <w:r w:rsidRPr="00560190">
              <w:rPr>
                <w:szCs w:val="18"/>
              </w:rPr>
              <w:fldChar w:fldCharType="end"/>
            </w:r>
          </w:p>
        </w:tc>
        <w:tc>
          <w:tcPr>
            <w:tcW w:w="1417" w:type="dxa"/>
            <w:tcBorders>
              <w:top w:val="nil"/>
              <w:left w:val="single" w:sz="6" w:space="0" w:color="auto"/>
              <w:bottom w:val="single" w:sz="12" w:space="0" w:color="auto"/>
              <w:right w:val="nil"/>
            </w:tcBorders>
          </w:tcPr>
          <w:p w:rsidR="00D6432B" w:rsidRPr="00560190" w:rsidP="00D6432B" w14:paraId="02699B61" w14:textId="03268A66">
            <w:pPr>
              <w:rPr>
                <w:sz w:val="16"/>
              </w:rPr>
            </w:pPr>
            <w:r w:rsidRPr="00560190">
              <w:rPr>
                <w:sz w:val="16"/>
              </w:rPr>
              <w:t>Gjelder fra</w:t>
            </w:r>
            <w:r>
              <w:rPr>
                <w:sz w:val="16"/>
              </w:rPr>
              <w:t>/til</w:t>
            </w:r>
            <w:r w:rsidRPr="00560190">
              <w:rPr>
                <w:sz w:val="16"/>
              </w:rPr>
              <w:t>:</w:t>
            </w:r>
          </w:p>
          <w:p w:rsidR="00D6432B" w:rsidRPr="00560190" w:rsidP="00D6432B" w14:paraId="02699B62" w14:textId="77777777">
            <w:pPr>
              <w:jc w:val="center"/>
              <w:rPr>
                <w:szCs w:val="18"/>
              </w:rPr>
            </w:pPr>
            <w:r w:rsidRPr="00560190">
              <w:rPr>
                <w:szCs w:val="18"/>
              </w:rPr>
              <w:fldChar w:fldCharType="begin" w:fldLock="1"/>
            </w:r>
            <w:r w:rsidRPr="00560190">
              <w:rPr>
                <w:szCs w:val="18"/>
              </w:rPr>
              <w:instrText xml:space="preserve"> DOCPROPERTY EK_GjelderFra </w:instrText>
            </w:r>
            <w:r w:rsidRPr="00560190">
              <w:rPr>
                <w:szCs w:val="18"/>
              </w:rPr>
              <w:fldChar w:fldCharType="separate"/>
            </w:r>
            <w:r w:rsidRPr="00560190">
              <w:rPr>
                <w:szCs w:val="18"/>
              </w:rPr>
              <w:t>30.01.2025</w:t>
            </w:r>
            <w:r w:rsidRPr="00560190">
              <w:rPr>
                <w:szCs w:val="18"/>
              </w:rPr>
              <w:fldChar w:fldCharType="end"/>
            </w:r>
          </w:p>
        </w:tc>
        <w:tc>
          <w:tcPr>
            <w:tcW w:w="1559" w:type="dxa"/>
            <w:tcBorders>
              <w:top w:val="nil"/>
              <w:left w:val="single" w:sz="6" w:space="0" w:color="auto"/>
              <w:bottom w:val="single" w:sz="12" w:space="0" w:color="auto"/>
              <w:right w:val="nil"/>
            </w:tcBorders>
          </w:tcPr>
          <w:p w:rsidR="00D6432B" w:rsidRPr="00560190" w:rsidP="00D6432B" w14:paraId="29C84A1B" w14:textId="61E0927A">
            <w:pPr>
              <w:rPr>
                <w:szCs w:val="18"/>
              </w:rPr>
            </w:pPr>
            <w:r w:rsidRPr="00560190">
              <w:rPr>
                <w:sz w:val="16"/>
              </w:rPr>
              <w:t>G</w:t>
            </w:r>
            <w:r>
              <w:rPr>
                <w:sz w:val="16"/>
              </w:rPr>
              <w:t>jelder</w:t>
            </w:r>
            <w:r w:rsidRPr="00560190">
              <w:rPr>
                <w:sz w:val="16"/>
              </w:rPr>
              <w:t xml:space="preserve"> til:</w:t>
            </w:r>
            <w:r>
              <w:rPr>
                <w:sz w:val="16"/>
              </w:rPr>
              <w:t xml:space="preserve"> </w:t>
            </w:r>
          </w:p>
          <w:p w:rsidR="00D6432B" w:rsidRPr="00560190" w:rsidP="00D6432B" w14:paraId="02699B64" w14:textId="03CFBA8A">
            <w:pPr>
              <w:jc w:val="center"/>
              <w:rPr>
                <w:szCs w:val="18"/>
              </w:rPr>
            </w:pPr>
            <w:r w:rsidRPr="00560190">
              <w:fldChar w:fldCharType="begin" w:fldLock="1"/>
            </w:r>
            <w:r w:rsidRPr="00560190">
              <w:instrText>DOCPROPERTY EK_GjelderTil \*charformat \* MERGEFORMAT</w:instrText>
            </w:r>
            <w:r w:rsidRPr="00560190">
              <w:fldChar w:fldCharType="separate"/>
            </w:r>
            <w:r w:rsidRPr="00560190">
              <w:rPr>
                <w:noProof/>
              </w:rPr>
              <w:t>30.01.2026</w:t>
            </w:r>
            <w:r w:rsidRPr="00560190">
              <w:fldChar w:fldCharType="end"/>
            </w:r>
          </w:p>
        </w:tc>
        <w:tc>
          <w:tcPr>
            <w:tcW w:w="2977" w:type="dxa"/>
            <w:gridSpan w:val="2"/>
            <w:tcBorders>
              <w:top w:val="nil"/>
              <w:left w:val="single" w:sz="6" w:space="0" w:color="auto"/>
              <w:bottom w:val="single" w:sz="12" w:space="0" w:color="auto"/>
            </w:tcBorders>
          </w:tcPr>
          <w:p w:rsidR="00D6432B" w:rsidRPr="00560190" w:rsidP="00D6432B" w14:paraId="277282C8" w14:textId="77777777">
            <w:pPr>
              <w:rPr>
                <w:sz w:val="20"/>
              </w:rPr>
            </w:pPr>
            <w:r w:rsidRPr="00560190">
              <w:rPr>
                <w:sz w:val="16"/>
              </w:rPr>
              <w:t>Godkjent av:</w:t>
            </w:r>
          </w:p>
          <w:p w:rsidR="00D6432B" w:rsidRPr="00560190" w:rsidP="00D6432B" w14:paraId="02699B66" w14:textId="6F0FF2DE">
            <w:pPr>
              <w:jc w:val="center"/>
              <w:rPr>
                <w:szCs w:val="18"/>
              </w:rPr>
            </w:pPr>
            <w:r w:rsidRPr="00560190">
              <w:rPr>
                <w:szCs w:val="18"/>
              </w:rPr>
              <w:fldChar w:fldCharType="begin" w:fldLock="1"/>
            </w:r>
            <w:r w:rsidRPr="00560190">
              <w:rPr>
                <w:szCs w:val="18"/>
              </w:rPr>
              <w:instrText xml:space="preserve"> DOCPROPERTY EK_Signatur </w:instrText>
            </w:r>
            <w:r w:rsidRPr="00560190">
              <w:rPr>
                <w:szCs w:val="18"/>
              </w:rPr>
              <w:fldChar w:fldCharType="separate"/>
            </w:r>
            <w:r w:rsidRPr="00560190">
              <w:rPr>
                <w:szCs w:val="18"/>
              </w:rPr>
              <w:t>Rune Wiggen</w:t>
            </w:r>
            <w:r w:rsidRPr="00560190">
              <w:rPr>
                <w:szCs w:val="18"/>
              </w:rPr>
              <w:fldChar w:fldCharType="end"/>
            </w:r>
          </w:p>
        </w:tc>
      </w:tr>
    </w:tbl>
    <w:p w:rsidR="00A90694" w:rsidRPr="00A90694" w:rsidP="00994961" w14:paraId="5A214358" w14:textId="3872FEDE">
      <w:pPr>
        <w:pStyle w:val="Heading1"/>
        <w:numPr>
          <w:ilvl w:val="0"/>
          <w:numId w:val="3"/>
        </w:numPr>
        <w:spacing w:after="120"/>
        <w:ind w:left="426"/>
      </w:pPr>
      <w:r>
        <w:t>Innledning</w:t>
      </w:r>
    </w:p>
    <w:p w:rsidR="00503897" w:rsidP="00503897" w14:paraId="4190005D" w14:textId="0562F850">
      <w:pPr>
        <w:spacing w:after="240"/>
        <w:ind w:left="142"/>
        <w:jc w:val="both"/>
      </w:pPr>
      <w:r>
        <w:t xml:space="preserve">Dokumentet gir en generell og overordnet system- eller prosessbeskrivelse av opptaksprosessen til utdanninger tilbudt ved Trøndelag høyere yrkesfagskole (THYF). </w:t>
      </w:r>
    </w:p>
    <w:p w:rsidR="00503897" w:rsidP="00503897" w14:paraId="59394EDA" w14:textId="77777777">
      <w:pPr>
        <w:spacing w:after="240"/>
        <w:ind w:left="142"/>
        <w:jc w:val="both"/>
      </w:pPr>
      <w:r>
        <w:t xml:space="preserve">For tilfeller hvor det er aktuelt å beskrive hvordan man oppfyller lovkrav, anvendte standarder og interne regler, suppleres dokumentet av prosedyrer, instrukser eller andre styrende dokumenter. </w:t>
      </w:r>
    </w:p>
    <w:p w:rsidR="00F60869" w:rsidP="00503897" w14:paraId="2F290F4D" w14:textId="735A55BC">
      <w:pPr>
        <w:spacing w:after="240"/>
        <w:ind w:left="142"/>
        <w:jc w:val="both"/>
      </w:pPr>
      <w:r>
        <w:t xml:space="preserve">Beskrivelsen i avsnitt 2 kan inneholde </w:t>
      </w:r>
      <w:r w:rsidR="00156D01">
        <w:t>henvis</w:t>
      </w:r>
      <w:r>
        <w:t>ninger til aktuelle referanser der dette er aktuelt og hensiktsmessig. Avsnitt 3 vil inneholde en komplett liste over referanser</w:t>
      </w:r>
      <w:r w:rsidR="006A0586">
        <w:t>.</w:t>
      </w:r>
    </w:p>
    <w:p w:rsidR="004C16AD" w:rsidP="00503897" w14:paraId="441059FF" w14:textId="4BC1B8D5">
      <w:pPr>
        <w:spacing w:after="240"/>
        <w:ind w:left="142"/>
        <w:jc w:val="both"/>
      </w:pPr>
      <w:r>
        <w:t xml:space="preserve">Beskrivelsen av </w:t>
      </w:r>
      <w:r w:rsidRPr="004C16AD">
        <w:rPr>
          <w:u w:val="single"/>
        </w:rPr>
        <w:t>praksis for opptak</w:t>
      </w:r>
      <w:r>
        <w:t xml:space="preserve"> i avsnitt 2 omfatter:</w:t>
      </w:r>
    </w:p>
    <w:p w:rsidR="004C16AD" w:rsidP="004C16AD" w14:paraId="71C0E5B3" w14:textId="77777777">
      <w:pPr>
        <w:spacing w:after="240"/>
        <w:ind w:left="992"/>
        <w:contextualSpacing/>
        <w:jc w:val="both"/>
      </w:pPr>
      <w:r>
        <w:fldChar w:fldCharType="begin"/>
      </w:r>
      <w:r>
        <w:instrText xml:space="preserve"> REF _Ref188907766 \h </w:instrText>
      </w:r>
      <w:r>
        <w:fldChar w:fldCharType="separate"/>
      </w:r>
      <w:r>
        <w:t>2.1 Rammebetingelser</w:t>
      </w:r>
      <w:r>
        <w:fldChar w:fldCharType="end"/>
      </w:r>
    </w:p>
    <w:p w:rsidR="004C16AD" w:rsidP="004C16AD" w14:paraId="15F8E398" w14:textId="48A15EDB">
      <w:pPr>
        <w:spacing w:after="240"/>
        <w:ind w:left="992"/>
        <w:contextualSpacing/>
        <w:jc w:val="both"/>
      </w:pPr>
      <w:r>
        <w:fldChar w:fldCharType="begin"/>
      </w:r>
      <w:r>
        <w:instrText xml:space="preserve"> REF _Ref188907774 \h </w:instrText>
      </w:r>
      <w:r>
        <w:fldChar w:fldCharType="separate"/>
      </w:r>
      <w:r>
        <w:t>2.</w:t>
      </w:r>
      <w:r w:rsidR="009B7220">
        <w:t>2</w:t>
      </w:r>
      <w:r>
        <w:t xml:space="preserve"> </w:t>
      </w:r>
      <w:r w:rsidR="004E63B4">
        <w:t>Prosess for fastsettelse av t</w:t>
      </w:r>
      <w:r>
        <w:t>ilbud</w:t>
      </w:r>
      <w:r w:rsidR="009B7220">
        <w:t xml:space="preserve">sstruktur </w:t>
      </w:r>
      <w:r>
        <w:fldChar w:fldCharType="end"/>
      </w:r>
    </w:p>
    <w:p w:rsidR="004C16AD" w:rsidP="004C16AD" w14:paraId="7D5EF61C" w14:textId="77777777">
      <w:pPr>
        <w:spacing w:after="240"/>
        <w:ind w:left="992"/>
        <w:contextualSpacing/>
        <w:jc w:val="both"/>
      </w:pPr>
      <w:r>
        <w:fldChar w:fldCharType="begin"/>
      </w:r>
      <w:r>
        <w:instrText xml:space="preserve"> REF _Ref188907792 \h </w:instrText>
      </w:r>
      <w:r>
        <w:fldChar w:fldCharType="separate"/>
      </w:r>
      <w:r>
        <w:t>2.</w:t>
      </w:r>
      <w:r w:rsidR="009B7220">
        <w:t>3</w:t>
      </w:r>
      <w:r>
        <w:t xml:space="preserve"> </w:t>
      </w:r>
      <w:r w:rsidR="004171D6">
        <w:t>Gjennomføring av o</w:t>
      </w:r>
      <w:r w:rsidR="009B7220">
        <w:t>pptak</w:t>
      </w:r>
      <w:r>
        <w:t xml:space="preserve"> </w:t>
      </w:r>
      <w:r w:rsidR="009B7220">
        <w:t>gjennom Samordna opptak</w:t>
      </w:r>
      <w:r>
        <w:fldChar w:fldCharType="end"/>
      </w:r>
    </w:p>
    <w:p w:rsidR="004C16AD" w:rsidP="004C16AD" w14:paraId="76755C67" w14:textId="1D23832A">
      <w:pPr>
        <w:spacing w:after="240"/>
        <w:ind w:left="992"/>
        <w:contextualSpacing/>
        <w:jc w:val="both"/>
      </w:pPr>
      <w:r>
        <w:fldChar w:fldCharType="begin"/>
      </w:r>
      <w:r>
        <w:instrText xml:space="preserve"> REF _Ref188907811 \h </w:instrText>
      </w:r>
      <w:r>
        <w:fldChar w:fldCharType="separate"/>
      </w:r>
      <w:r>
        <w:t>2.</w:t>
      </w:r>
      <w:r w:rsidR="00C844BC">
        <w:t>4</w:t>
      </w:r>
      <w:r>
        <w:t xml:space="preserve"> </w:t>
      </w:r>
      <w:r w:rsidR="00C844BC">
        <w:t>Lokale opptak</w:t>
      </w:r>
      <w:r>
        <w:fldChar w:fldCharType="end"/>
      </w:r>
      <w:r>
        <w:t xml:space="preserve"> </w:t>
      </w:r>
    </w:p>
    <w:p w:rsidR="00F9677E" w:rsidRPr="00F9677E" w:rsidP="004171D6" w14:paraId="2A668A33" w14:textId="6CEC3009">
      <w:pPr>
        <w:pStyle w:val="Heading1"/>
        <w:numPr>
          <w:ilvl w:val="0"/>
          <w:numId w:val="3"/>
        </w:numPr>
        <w:ind w:left="426"/>
        <w:jc w:val="both"/>
      </w:pPr>
      <w:r>
        <w:t xml:space="preserve">Beskrivelse av </w:t>
      </w:r>
      <w:r w:rsidR="00E91597">
        <w:t>praksis for opptak ved THYF</w:t>
      </w:r>
    </w:p>
    <w:p w:rsidR="0092756B" w:rsidRPr="007D26B5" w:rsidP="004171D6" w14:paraId="7D6E624B" w14:textId="2D458696">
      <w:pPr>
        <w:pStyle w:val="Heading2"/>
        <w:ind w:left="142"/>
      </w:pPr>
      <w:bookmarkStart w:id="1" w:name="_Ref188907766"/>
      <w:r>
        <w:t>2.1 Rammebetingelser</w:t>
      </w:r>
      <w:bookmarkEnd w:id="1"/>
      <w:r>
        <w:t xml:space="preserve"> </w:t>
      </w:r>
    </w:p>
    <w:p w:rsidR="00357DD4" w:rsidP="00503897" w14:paraId="07C908AA" w14:textId="71D4AA1D">
      <w:pPr>
        <w:spacing w:after="240"/>
        <w:ind w:left="142"/>
        <w:jc w:val="both"/>
      </w:pPr>
      <w:r>
        <w:t>Alle u</w:t>
      </w:r>
      <w:r w:rsidRPr="00357DD4">
        <w:t xml:space="preserve">tdanninger </w:t>
      </w:r>
      <w:r>
        <w:t xml:space="preserve">tilbudt og </w:t>
      </w:r>
      <w:r w:rsidRPr="00357DD4">
        <w:t xml:space="preserve">levert av Trøndelag høyere yrkesfagskole (THYF), er akkrediterte av NOKUT. </w:t>
      </w:r>
    </w:p>
    <w:p w:rsidR="00357DD4" w:rsidP="00503897" w14:paraId="250D60C2" w14:textId="740A11C7">
      <w:pPr>
        <w:spacing w:after="240"/>
        <w:ind w:left="142"/>
        <w:jc w:val="both"/>
      </w:pPr>
      <w:r>
        <w:t>For m</w:t>
      </w:r>
      <w:r w:rsidRPr="00357DD4" w:rsidR="006A0586">
        <w:t xml:space="preserve">aritime og sveisetekniske utdanninger </w:t>
      </w:r>
      <w:r w:rsidR="00156D01">
        <w:t xml:space="preserve">skal </w:t>
      </w:r>
      <w:r>
        <w:t xml:space="preserve">det foreligge gyldig </w:t>
      </w:r>
      <w:r w:rsidRPr="00357DD4" w:rsidR="006A0586">
        <w:t>sertifi</w:t>
      </w:r>
      <w:r>
        <w:t>kat utstedt av akkreditert sertifiseringsorgan</w:t>
      </w:r>
      <w:r w:rsidR="00156D01">
        <w:t>.</w:t>
      </w:r>
      <w:r>
        <w:t xml:space="preserve"> </w:t>
      </w:r>
      <w:r w:rsidR="006A0586">
        <w:t xml:space="preserve">Maritime utdanninger må i tillegg godkjennes </w:t>
      </w:r>
      <w:r>
        <w:t xml:space="preserve">i h.h.t internasjonale konvensjoner og regelverk </w:t>
      </w:r>
      <w:r w:rsidR="006A0586">
        <w:t>av Sjøfartsdirektoratet (SDIR)</w:t>
      </w:r>
      <w:r>
        <w:t>.</w:t>
      </w:r>
    </w:p>
    <w:p w:rsidR="0092756B" w:rsidRPr="007D26B5" w:rsidP="004171D6" w14:paraId="474D4C75" w14:textId="006642F8">
      <w:pPr>
        <w:pStyle w:val="Heading2"/>
        <w:ind w:left="142"/>
      </w:pPr>
      <w:bookmarkStart w:id="2" w:name="_Ref188907774"/>
      <w:r>
        <w:t>2.</w:t>
      </w:r>
      <w:r w:rsidR="009B7220">
        <w:t>2</w:t>
      </w:r>
      <w:r>
        <w:t xml:space="preserve"> </w:t>
      </w:r>
      <w:r w:rsidR="004E63B4">
        <w:t>Prosess for fastsettelse av t</w:t>
      </w:r>
      <w:r>
        <w:t>ilbud</w:t>
      </w:r>
      <w:r w:rsidR="009B7220">
        <w:t xml:space="preserve">sstruktur </w:t>
      </w:r>
      <w:bookmarkEnd w:id="2"/>
    </w:p>
    <w:p w:rsidR="004E63B4" w:rsidP="004E63B4" w14:paraId="204BBD84" w14:textId="64CEF582">
      <w:pPr>
        <w:spacing w:after="240"/>
        <w:ind w:left="142"/>
        <w:jc w:val="both"/>
      </w:pPr>
      <w:bookmarkStart w:id="3" w:name="_Hlk188865151"/>
      <w:r>
        <w:t xml:space="preserve">Arbeidet med utarbeidelse av THYFs tilbudsstruktur </w:t>
      </w:r>
      <w:r w:rsidR="0030407F">
        <w:t>starter og gjennomføres høsten før utlysning av utdanningstilbud via Samordna opptak.</w:t>
      </w:r>
    </w:p>
    <w:p w:rsidR="00C316F3" w:rsidP="00C316F3" w14:paraId="62F504C6" w14:textId="13D9AC44">
      <w:pPr>
        <w:spacing w:after="240"/>
        <w:ind w:left="142"/>
        <w:jc w:val="both"/>
      </w:pPr>
      <w:r>
        <w:t xml:space="preserve">THYFs tilbudsstruktur </w:t>
      </w:r>
      <w:r w:rsidR="004E63B4">
        <w:t>fo</w:t>
      </w:r>
      <w:r>
        <w:t>r utdanninger</w:t>
      </w:r>
      <w:r w:rsidR="004E63B4">
        <w:t>,</w:t>
      </w:r>
      <w:r>
        <w:t xml:space="preserve"> utarbeides med grunnlag i signaler om forventet tilskudd/ tilskuddsrammer, rammer for studenttall og andre forhold av betydning fra </w:t>
      </w:r>
      <w:r w:rsidR="004E63B4">
        <w:t>eier</w:t>
      </w:r>
      <w:r>
        <w:rPr>
          <w:rStyle w:val="FootnoteReference"/>
        </w:rPr>
        <w:footnoteReference w:id="2"/>
      </w:r>
      <w:r>
        <w:t xml:space="preserve"> og styret i THYF.</w:t>
      </w:r>
      <w:bookmarkEnd w:id="3"/>
      <w:r>
        <w:t xml:space="preserve"> </w:t>
      </w:r>
    </w:p>
    <w:p w:rsidR="009B7220" w:rsidP="00503897" w14:paraId="4D5E794A" w14:textId="4129CA71">
      <w:pPr>
        <w:spacing w:after="240"/>
        <w:ind w:left="142"/>
        <w:jc w:val="both"/>
      </w:pPr>
      <w:r>
        <w:t xml:space="preserve">Arbeidet </w:t>
      </w:r>
      <w:r w:rsidR="00190CE5">
        <w:t xml:space="preserve">med tilbudsstruktur </w:t>
      </w:r>
      <w:r>
        <w:t xml:space="preserve">involverer rektor, studieadministrativ leder, administrativ leder og utdanningslederne ved THYF. </w:t>
      </w:r>
      <w:bookmarkStart w:id="4" w:name="_Hlk188865195"/>
      <w:r>
        <w:t xml:space="preserve">De respektive lederne involverer sine ansatte i arbeidet. I noen sammenhenger og for enkeltutdanninger må arbeidet skje </w:t>
      </w:r>
      <w:r w:rsidR="0030407F">
        <w:t>gjenn</w:t>
      </w:r>
      <w:r>
        <w:t xml:space="preserve">om </w:t>
      </w:r>
      <w:r w:rsidR="0030407F">
        <w:t xml:space="preserve">et </w:t>
      </w:r>
      <w:r>
        <w:t>samarbeid på tvers av utdanningsområder og studiesteder.</w:t>
      </w:r>
      <w:bookmarkEnd w:id="4"/>
      <w:r>
        <w:t xml:space="preserve"> U</w:t>
      </w:r>
      <w:r w:rsidR="00190CE5">
        <w:t xml:space="preserve">tdanningsområdene </w:t>
      </w:r>
      <w:r>
        <w:t xml:space="preserve">foreslår </w:t>
      </w:r>
      <w:r w:rsidR="00190CE5">
        <w:t>hver for seg hvilke utdanninger som skal tilbys i påfølgende studieår.</w:t>
      </w:r>
    </w:p>
    <w:p w:rsidR="009B7220" w:rsidP="00E90D0E" w14:paraId="777CB562" w14:textId="46C9E701">
      <w:pPr>
        <w:spacing w:after="240"/>
        <w:ind w:left="142"/>
        <w:jc w:val="both"/>
      </w:pPr>
      <w:r>
        <w:t xml:space="preserve">Rektor er videre ansvarlig for å utarbeide et samlet </w:t>
      </w:r>
      <w:r w:rsidR="006A0586">
        <w:t>forslag til hvilke utdanninger THYF skal tilby.  Forslaget utarbeides i samråd med ledergruppen</w:t>
      </w:r>
      <w:r>
        <w:t xml:space="preserve"> etter vedtak av rektor</w:t>
      </w:r>
      <w:r w:rsidR="006A0586">
        <w:t xml:space="preserve">. Forslaget legges </w:t>
      </w:r>
      <w:r>
        <w:t xml:space="preserve">deretter </w:t>
      </w:r>
      <w:r w:rsidR="006A0586">
        <w:t>frem som sak for behandling av styret ved TH</w:t>
      </w:r>
      <w:r>
        <w:t>YF</w:t>
      </w:r>
      <w:r w:rsidR="006A0586">
        <w:t xml:space="preserve">. </w:t>
      </w:r>
    </w:p>
    <w:p w:rsidR="009B7220" w:rsidP="00503897" w14:paraId="06476844" w14:textId="43116236">
      <w:pPr>
        <w:spacing w:after="240"/>
        <w:ind w:left="142"/>
        <w:jc w:val="both"/>
      </w:pPr>
      <w:r>
        <w:t xml:space="preserve">Styret gjør så et </w:t>
      </w:r>
      <w:r w:rsidRPr="00190CE5">
        <w:rPr>
          <w:u w:val="single"/>
        </w:rPr>
        <w:t>forsvarlighetsvedtak</w:t>
      </w:r>
      <w:r w:rsidR="00E90D0E">
        <w:t>. Vedtaket</w:t>
      </w:r>
      <w:r>
        <w:t xml:space="preserve"> sier hvilke utdanninger THYF skal tilby</w:t>
      </w:r>
      <w:r w:rsidR="00E90D0E">
        <w:t xml:space="preserve"> i </w:t>
      </w:r>
      <w:r w:rsidR="0030407F">
        <w:t xml:space="preserve">det </w:t>
      </w:r>
      <w:r w:rsidR="00E90D0E">
        <w:t>påfølgende studieår</w:t>
      </w:r>
      <w:r w:rsidR="0030407F">
        <w:t>et</w:t>
      </w:r>
      <w:r>
        <w:t>, og gir rammetall for antall studenter som kan tas opp pr. utdanningstilbud.</w:t>
      </w:r>
    </w:p>
    <w:p w:rsidR="0092756B" w:rsidP="00503897" w14:paraId="3AA42ED0" w14:textId="154BDEBA">
      <w:pPr>
        <w:spacing w:after="240"/>
        <w:ind w:left="142"/>
        <w:jc w:val="both"/>
      </w:pPr>
      <w:r>
        <w:t>Dersom søkningen til et gitt utdanningstilbud er lav i forhold til vedtatte rammer, har rektor fullmakt til å trekke studiet fra Samordnet opptaks tilbudsliste.</w:t>
      </w:r>
    </w:p>
    <w:p w:rsidR="0092756B" w:rsidRPr="007D26B5" w:rsidP="004171D6" w14:paraId="47A4A320" w14:textId="735D0190">
      <w:pPr>
        <w:pStyle w:val="Heading2"/>
        <w:ind w:left="142"/>
      </w:pPr>
      <w:bookmarkStart w:id="5" w:name="_Ref188907792"/>
      <w:r>
        <w:t>2.</w:t>
      </w:r>
      <w:r w:rsidR="009B7220">
        <w:t>3</w:t>
      </w:r>
      <w:r>
        <w:t xml:space="preserve"> </w:t>
      </w:r>
      <w:r w:rsidR="004171D6">
        <w:t>Gjennomføring av o</w:t>
      </w:r>
      <w:r w:rsidR="009B7220">
        <w:t>pptak</w:t>
      </w:r>
      <w:r>
        <w:t xml:space="preserve"> </w:t>
      </w:r>
      <w:r w:rsidR="009B7220">
        <w:t>gjennom Samordna opptak</w:t>
      </w:r>
      <w:bookmarkEnd w:id="5"/>
    </w:p>
    <w:p w:rsidR="009B7220" w:rsidP="00503897" w14:paraId="2B2D0B21" w14:textId="201D4C26">
      <w:pPr>
        <w:spacing w:after="240"/>
        <w:ind w:left="142"/>
        <w:jc w:val="both"/>
      </w:pPr>
      <w:r>
        <w:t>Samordna opptak utarbeider en plan for gjennomføring av studentopptak</w:t>
      </w:r>
      <w:r w:rsidR="00C844BC">
        <w:t xml:space="preserve"> (FSU-plan)</w:t>
      </w:r>
      <w:r>
        <w:t xml:space="preserve">. Planen angir frister for gjennomføring av de ulike delene av opptaket. </w:t>
      </w:r>
      <w:r w:rsidR="00C844BC">
        <w:t xml:space="preserve">THYF mottar planen </w:t>
      </w:r>
      <w:r>
        <w:t xml:space="preserve">i forkant av </w:t>
      </w:r>
      <w:r w:rsidR="00C844BC">
        <w:t xml:space="preserve">at </w:t>
      </w:r>
      <w:r>
        <w:t>studentopptak</w:t>
      </w:r>
      <w:r w:rsidR="00C844BC">
        <w:t>et starter</w:t>
      </w:r>
      <w:r>
        <w:t>.</w:t>
      </w:r>
    </w:p>
    <w:p w:rsidR="00C844BC" w:rsidP="00503897" w14:paraId="08932783" w14:textId="46C3A420">
      <w:pPr>
        <w:spacing w:after="240"/>
        <w:ind w:left="142"/>
        <w:jc w:val="both"/>
      </w:pPr>
      <w:r>
        <w:t>Opptak av studenter skjer gjennom et samarbeid mellom Samordna opptak og studieadministrasjonen ved THYF.</w:t>
      </w:r>
    </w:p>
    <w:p w:rsidR="009B7220" w:rsidP="00503897" w14:paraId="7A10BF23" w14:textId="7F1427E6">
      <w:pPr>
        <w:spacing w:after="240"/>
        <w:ind w:left="142"/>
        <w:jc w:val="both"/>
      </w:pPr>
      <w:r>
        <w:t>Opptaksprosessen er vist i forenklet form i figur 1, og kortfattet beskrevet under:</w:t>
      </w:r>
    </w:p>
    <w:p w:rsidR="009B7220" w:rsidP="006A0586" w14:paraId="6F818CDC" w14:textId="6A46D602">
      <w:pPr>
        <w:numPr>
          <w:ilvl w:val="0"/>
          <w:numId w:val="8"/>
        </w:numPr>
        <w:spacing w:after="240"/>
        <w:ind w:left="709" w:hanging="284"/>
        <w:contextualSpacing/>
        <w:jc w:val="both"/>
      </w:pPr>
      <w:r>
        <w:t>Studieadministrasjonen ved THYF melder inn utdanningstilbud og antall studenter pr. utdanningstilbud til Samordna opptak, jfr. frist angitt i gjeldende FSU-plan.</w:t>
      </w:r>
    </w:p>
    <w:p w:rsidR="006A0586" w:rsidP="006A0586" w14:paraId="510720E4" w14:textId="77777777">
      <w:pPr>
        <w:spacing w:after="240"/>
        <w:ind w:left="709"/>
        <w:contextualSpacing/>
        <w:jc w:val="both"/>
      </w:pPr>
    </w:p>
    <w:p w:rsidR="009B7220" w:rsidP="006A0586" w14:paraId="5805CA88" w14:textId="1648C8C6">
      <w:pPr>
        <w:numPr>
          <w:ilvl w:val="0"/>
          <w:numId w:val="8"/>
        </w:numPr>
        <w:spacing w:after="240"/>
        <w:ind w:left="850" w:hanging="425"/>
        <w:contextualSpacing/>
        <w:jc w:val="both"/>
      </w:pPr>
      <w:r>
        <w:t>Samordna opptak foretar opptak av studenter på vegne av og i samarbeid med THYF.</w:t>
      </w:r>
    </w:p>
    <w:p w:rsidR="006A0586" w:rsidP="006A0586" w14:paraId="360E112D" w14:textId="77777777">
      <w:pPr>
        <w:spacing w:after="240"/>
        <w:ind w:left="850"/>
        <w:contextualSpacing/>
        <w:jc w:val="both"/>
      </w:pPr>
    </w:p>
    <w:p w:rsidR="009B7220" w:rsidP="004171D6" w14:paraId="7137B1EC" w14:textId="64B1CAAC">
      <w:pPr>
        <w:numPr>
          <w:ilvl w:val="0"/>
          <w:numId w:val="8"/>
        </w:numPr>
        <w:spacing w:after="240"/>
        <w:ind w:left="709" w:hanging="284"/>
        <w:contextualSpacing/>
        <w:jc w:val="both"/>
      </w:pPr>
      <w:r>
        <w:t xml:space="preserve">Det gjennomføres </w:t>
      </w:r>
      <w:r w:rsidR="004171D6">
        <w:t xml:space="preserve">fortløpende </w:t>
      </w:r>
      <w:r>
        <w:t>suppleringsopptak etter at hovedopptaket</w:t>
      </w:r>
      <w:r w:rsidR="004171D6">
        <w:t xml:space="preserve"> er avsluttet og det foreligger informasjon om hvor mange som har akseptert tilbudet om utdanning.</w:t>
      </w:r>
    </w:p>
    <w:p w:rsidR="009B7220" w:rsidP="00503897" w14:paraId="00B1A7DE" w14:textId="77777777">
      <w:pPr>
        <w:spacing w:after="240"/>
        <w:ind w:left="142"/>
        <w:jc w:val="both"/>
      </w:pPr>
    </w:p>
    <w:p w:rsidR="009B7220" w:rsidP="001763A4" w14:paraId="1C55BD8A" w14:textId="15C4368F">
      <w:pPr>
        <w:spacing w:after="240"/>
        <w:ind w:left="142"/>
        <w:jc w:val="both"/>
      </w:pPr>
      <w:r w:rsidRPr="00C844BC">
        <w:rPr>
          <w:b/>
          <w:bCs/>
        </w:rPr>
        <w:t>OBS!</w:t>
      </w:r>
      <w:r>
        <w:t xml:space="preserve"> Gjeldende FSU-plan må til enhver tid benyttes ved gjennomføring av </w:t>
      </w:r>
      <w:r w:rsidR="00C844BC">
        <w:t xml:space="preserve">samordna </w:t>
      </w:r>
      <w:r>
        <w:t>opptak til utdanningstilbud ved THYF. FSU-planen oppgir gjeldende frister for kommunikasjon, tilbakemelding og gjennomføring mellom THYF (</w:t>
      </w:r>
      <w:r w:rsidR="00C844BC">
        <w:t xml:space="preserve">som </w:t>
      </w:r>
      <w:r>
        <w:t>tilbyder) og Samordna opptak.</w:t>
      </w:r>
    </w:p>
    <w:p w:rsidR="009B7220" w:rsidP="00503897" w14:paraId="20551939" w14:textId="6C045AEC">
      <w:pPr>
        <w:spacing w:after="240"/>
        <w:ind w:left="142"/>
        <w:jc w:val="both"/>
      </w:pPr>
      <w:r>
        <w:pict>
          <v:shape id="_x0000_i1026" type="#_x0000_t75" style="width:453.75pt;height:81.75pt">
            <v:imagedata r:id="rId7" o:title="Samordna opptak - prosess forenklet"/>
          </v:shape>
        </w:pict>
      </w:r>
    </w:p>
    <w:p w:rsidR="0092756B" w:rsidP="00503897" w14:paraId="7841B72B" w14:textId="7A00B86D">
      <w:pPr>
        <w:spacing w:after="240"/>
        <w:ind w:left="142"/>
        <w:jc w:val="both"/>
        <w:rPr>
          <w:i/>
          <w:iCs/>
          <w:sz w:val="16"/>
          <w:szCs w:val="18"/>
        </w:rPr>
      </w:pPr>
      <w:r w:rsidRPr="00C844BC">
        <w:rPr>
          <w:i/>
          <w:iCs/>
          <w:sz w:val="16"/>
          <w:szCs w:val="18"/>
        </w:rPr>
        <w:t>Figur 1: Forenklet og skjematisk skisse av prosess for gjennomføring av samordna opptak med omtrentlige perioder for gjennomføring. Angitte tidsrom er veiledende og må bekreftes av den til enhver tid gjeldende FSU-plan som tilbyder av utdanning mottar fra Samordna opptak.</w:t>
      </w:r>
    </w:p>
    <w:p w:rsidR="001763A4" w:rsidRPr="001763A4" w:rsidP="001763A4" w14:paraId="16EBDF3E" w14:textId="387C5B38">
      <w:pPr>
        <w:spacing w:before="120" w:after="240"/>
        <w:ind w:left="142"/>
        <w:jc w:val="both"/>
      </w:pPr>
      <w:r>
        <w:t xml:space="preserve">Saksbehandlerklienten til Samordna opptak inneholder verktøyet Wikien. </w:t>
      </w:r>
      <w:r>
        <w:t>Wikien</w:t>
      </w:r>
      <w:r>
        <w:t xml:space="preserve"> inneholder informasjon om regler, samt tips og triks knyttet til opptaket og saksbehandlingen. For å få tilgang til Wikien, må man logge seg inn i saksbehandlerklienten med egen brukertilgang</w:t>
      </w:r>
    </w:p>
    <w:p w:rsidR="0092756B" w:rsidRPr="007D26B5" w:rsidP="004171D6" w14:paraId="0C1CDAEB" w14:textId="2FE1F215">
      <w:pPr>
        <w:pStyle w:val="Heading2"/>
        <w:ind w:left="142"/>
      </w:pPr>
      <w:bookmarkStart w:id="6" w:name="_Ref188907811"/>
      <w:r>
        <w:t>2.</w:t>
      </w:r>
      <w:r w:rsidR="00C844BC">
        <w:t>4</w:t>
      </w:r>
      <w:r>
        <w:t xml:space="preserve"> </w:t>
      </w:r>
      <w:r w:rsidR="00C844BC">
        <w:t>Lokale opptak</w:t>
      </w:r>
      <w:bookmarkEnd w:id="6"/>
      <w:r>
        <w:t xml:space="preserve"> </w:t>
      </w:r>
    </w:p>
    <w:p w:rsidR="00474A02" w:rsidP="00503897" w14:paraId="7E90E8F7" w14:textId="0F4FD02F">
      <w:pPr>
        <w:spacing w:after="240"/>
        <w:ind w:left="142"/>
        <w:jc w:val="both"/>
      </w:pPr>
      <w:r>
        <w:t>Ved opptak til enkeltemner, bytte av studium/utdanning og opptak til studier eller utdanninger som ikke tilbys gjennom Samordna opptak, kan det skje lokale opptak. Lokalt opptak kan også benyttes etter at suppleringsopptak via Samordna opptak er avsluttet hvis der fortsatt er ledige plasser. Opptak til bransjeprogram gjennomført i samarbeid med arbeidslivet, er ett annet eksempel på utdanninger hvor THYF gjennomfører lokale opptak.</w:t>
      </w:r>
    </w:p>
    <w:p w:rsidR="00474A02" w:rsidP="006A0586" w14:paraId="6FC3CFB1" w14:textId="13785099">
      <w:pPr>
        <w:spacing w:after="240"/>
        <w:ind w:left="142"/>
        <w:jc w:val="both"/>
      </w:pPr>
      <w:r>
        <w:t>Prosessen for lokale opptak organiseres og gjennomføres av studieadministrasjonen ved THYF, og er beskrevet i egen prosedyre.</w:t>
      </w:r>
    </w:p>
    <w:p w:rsidR="000F306C" w:rsidP="00503897" w14:paraId="651A1107" w14:textId="6A691195">
      <w:pPr>
        <w:spacing w:after="240"/>
        <w:ind w:left="426"/>
        <w:jc w:val="both"/>
        <w:rPr>
          <w:i/>
          <w:iCs/>
        </w:rPr>
      </w:pPr>
      <w:r w:rsidRPr="000F306C">
        <w:rPr>
          <w:b/>
          <w:bCs/>
          <w:i/>
          <w:iCs/>
        </w:rPr>
        <w:t>Viktig</w:t>
      </w:r>
      <w:r>
        <w:rPr>
          <w:b/>
          <w:bCs/>
          <w:i/>
          <w:iCs/>
        </w:rPr>
        <w:t xml:space="preserve"> å merke seg vedr. lokale opptak</w:t>
      </w:r>
      <w:r w:rsidRPr="000F306C">
        <w:rPr>
          <w:b/>
          <w:bCs/>
          <w:i/>
          <w:iCs/>
        </w:rPr>
        <w:t>!</w:t>
      </w:r>
      <w:r w:rsidRPr="000F306C">
        <w:rPr>
          <w:i/>
          <w:iCs/>
        </w:rPr>
        <w:t xml:space="preserve"> </w:t>
      </w:r>
    </w:p>
    <w:p w:rsidR="000F306C" w:rsidP="00503897" w14:paraId="524FBA3C" w14:textId="768ED60B">
      <w:pPr>
        <w:spacing w:after="240"/>
        <w:ind w:left="426"/>
        <w:jc w:val="both"/>
        <w:rPr>
          <w:i/>
          <w:iCs/>
        </w:rPr>
      </w:pPr>
      <w:r w:rsidRPr="000F306C">
        <w:rPr>
          <w:i/>
          <w:iCs/>
          <w:u w:val="single"/>
        </w:rPr>
        <w:t>Eksterne søkere</w:t>
      </w:r>
      <w:r>
        <w:rPr>
          <w:i/>
          <w:iCs/>
        </w:rPr>
        <w:t xml:space="preserve"> </w:t>
      </w:r>
      <w:r w:rsidRPr="000F306C" w:rsidR="00474A02">
        <w:rPr>
          <w:i/>
          <w:iCs/>
          <w:u w:val="single"/>
        </w:rPr>
        <w:t>må søke om lokalt opptak</w:t>
      </w:r>
      <w:r>
        <w:rPr>
          <w:i/>
          <w:iCs/>
        </w:rPr>
        <w:t xml:space="preserve">, eksempelvis ved opptak til akkrediterte bransjeprogram. </w:t>
      </w:r>
    </w:p>
    <w:p w:rsidR="000F306C" w:rsidP="00503897" w14:paraId="41E4FB9E" w14:textId="09B8AEF7">
      <w:pPr>
        <w:spacing w:after="240"/>
        <w:ind w:left="426"/>
        <w:jc w:val="both"/>
        <w:rPr>
          <w:i/>
          <w:iCs/>
        </w:rPr>
      </w:pPr>
      <w:r>
        <w:rPr>
          <w:i/>
          <w:iCs/>
        </w:rPr>
        <w:t xml:space="preserve">Ved </w:t>
      </w:r>
      <w:r w:rsidRPr="000F306C" w:rsidR="00474A02">
        <w:rPr>
          <w:i/>
          <w:iCs/>
        </w:rPr>
        <w:t>gjenopptak av enkeltemner, bytte av studium og studier som ikke behandles gjennom Samordna opptak</w:t>
      </w:r>
      <w:r>
        <w:rPr>
          <w:i/>
          <w:iCs/>
        </w:rPr>
        <w:t xml:space="preserve">; </w:t>
      </w:r>
      <w:r>
        <w:rPr>
          <w:i/>
          <w:iCs/>
          <w:u w:val="single"/>
        </w:rPr>
        <w:t>må s</w:t>
      </w:r>
      <w:r w:rsidRPr="000F306C">
        <w:rPr>
          <w:i/>
          <w:iCs/>
          <w:u w:val="single"/>
        </w:rPr>
        <w:t>tudenter som allerede er opptatt ved THYF også søke om lokalt opptak</w:t>
      </w:r>
      <w:r w:rsidRPr="000F306C">
        <w:rPr>
          <w:i/>
          <w:iCs/>
        </w:rPr>
        <w:t>.</w:t>
      </w:r>
      <w:r>
        <w:rPr>
          <w:i/>
          <w:iCs/>
        </w:rPr>
        <w:t xml:space="preserve"> </w:t>
      </w:r>
    </w:p>
    <w:p w:rsidR="006A0586" w:rsidRPr="000F306C" w:rsidP="001763A4" w14:paraId="02896A85" w14:textId="236DBCCE">
      <w:pPr>
        <w:spacing w:after="240"/>
        <w:ind w:left="426"/>
        <w:jc w:val="both"/>
        <w:rPr>
          <w:i/>
          <w:iCs/>
        </w:rPr>
      </w:pPr>
      <w:hyperlink r:id="rId8" w:history="1">
        <w:r w:rsidRPr="001E351B">
          <w:rPr>
            <w:rStyle w:val="Hyperlink"/>
          </w:rPr>
          <w:t>Søknadsskjema</w:t>
        </w:r>
      </w:hyperlink>
      <w:r w:rsidR="001763A4">
        <w:rPr>
          <w:i/>
          <w:iCs/>
        </w:rPr>
        <w:t xml:space="preserve"> finnes tilgjengelig på THYF internettsider.</w:t>
      </w:r>
    </w:p>
    <w:p w:rsidR="00B86626" w:rsidRPr="009F7EB5" w:rsidP="00E44BC6" w14:paraId="1ED6C585" w14:textId="1BC82179">
      <w:pPr>
        <w:pStyle w:val="Heading1"/>
        <w:numPr>
          <w:ilvl w:val="0"/>
          <w:numId w:val="3"/>
        </w:numPr>
        <w:spacing w:after="120"/>
        <w:ind w:left="426"/>
        <w:jc w:val="both"/>
      </w:pPr>
      <w:r w:rsidRPr="009F7EB5">
        <w:t>Referanser</w:t>
      </w:r>
    </w:p>
    <w:p w:rsidR="00A42B73" w:rsidP="00E44BC6" w14:paraId="67FECD11" w14:textId="4DDB9674">
      <w:pPr>
        <w:spacing w:after="120"/>
        <w:ind w:left="142"/>
        <w:jc w:val="both"/>
      </w:pPr>
      <w:r>
        <w:rPr>
          <w:i/>
          <w:iCs/>
        </w:rPr>
        <w:t xml:space="preserve">Interne </w:t>
      </w:r>
      <w:r w:rsidRPr="00F9677E" w:rsidR="00892B8C">
        <w:rPr>
          <w:i/>
          <w:iCs/>
        </w:rPr>
        <w:t>referanser</w:t>
      </w:r>
      <w:r w:rsidR="00892B8C">
        <w:t xml:space="preserve"> henviser til dokumenter som finnes i THYFs </w:t>
      </w:r>
      <w:r w:rsidR="00E91597">
        <w:t>kvalitets</w:t>
      </w:r>
      <w:r w:rsidR="00892B8C">
        <w:t xml:space="preserve">ledelsessystem. </w:t>
      </w:r>
      <w:r w:rsidRPr="00F65CB0" w:rsidR="00892B8C">
        <w:rPr>
          <w:i/>
          <w:iCs/>
        </w:rPr>
        <w:t>Eksterne referanser</w:t>
      </w:r>
      <w:r w:rsidR="00892B8C">
        <w:t xml:space="preserve"> henviser til dokumenter som ligger tilgjengelig utenfor ledelsessystemet.</w:t>
      </w:r>
    </w:p>
    <w:p w:rsidR="009F7EB5" w:rsidP="00042D92" w14:paraId="259E6A4C" w14:textId="086151B1">
      <w:pPr>
        <w:spacing w:after="120"/>
        <w:ind w:left="142"/>
        <w:jc w:val="both"/>
      </w:pPr>
      <w:r>
        <w:t>Referanse</w:t>
      </w:r>
      <w:r w:rsidR="00F26C4C">
        <w:t>r</w:t>
      </w:r>
      <w:r>
        <w:t xml:space="preserve"> utgjør viktige systemforbindelser til relaterte dokumenter, skjema, prosessflytdiagram</w:t>
      </w:r>
      <w:r w:rsidR="00F26C4C">
        <w:t>, nettsteder,</w:t>
      </w:r>
      <w:r>
        <w:t xml:space="preserve"> eller annen relevant informasjon</w:t>
      </w:r>
      <w:r w:rsidR="00F26C4C">
        <w:t xml:space="preserve"> som for eksempel lover, forskrifter og standarder</w:t>
      </w:r>
      <w:r>
        <w:t>.</w:t>
      </w:r>
    </w:p>
    <w:p w:rsidR="001C0FFA" w:rsidRPr="007D26B5" w:rsidP="00E44BC6" w14:paraId="02699B6D" w14:textId="3A015A33">
      <w:pPr>
        <w:pStyle w:val="Heading2"/>
        <w:ind w:left="142"/>
      </w:pPr>
      <w:r>
        <w:t xml:space="preserve">Interne </w:t>
      </w:r>
      <w:r w:rsidRPr="007D26B5" w:rsidR="00892B8C">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22"/>
        <w:gridCol w:w="696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7D26B5">
            <w:pPr>
              <w:numPr>
                <w:ilvl w:val="0"/>
                <w:numId w:val="0"/>
              </w:numPr>
              <w:ind w:left="426"/>
              <w:rPr>
                <w:b w:val="0"/>
                <w:color w:val="0000FF"/>
                <w:u w:val="single"/>
              </w:rPr>
            </w:pPr>
            <w:bookmarkStart w:id="7" w:name="EK_Referanse"/>
            <w:hyperlink r:id="rId9" w:history="1">
              <w:r>
                <w:rPr>
                  <w:b w:val="0"/>
                  <w:color w:val="0000FF"/>
                  <w:u w:val="single"/>
                </w:rPr>
                <w:t>H-1.3</w:t>
              </w:r>
            </w:hyperlink>
          </w:p>
        </w:tc>
        <w:tc>
          <w:tcPr>
            <w:tcW w:w="3750" w:type="pct"/>
            <w:tcBorders>
              <w:top w:val="nil"/>
              <w:left w:val="nil"/>
              <w:bottom w:val="nil"/>
              <w:right w:val="nil"/>
            </w:tcBorders>
          </w:tcPr>
          <w:p w:rsidP="007D26B5">
            <w:pPr>
              <w:numPr>
                <w:ilvl w:val="0"/>
                <w:numId w:val="0"/>
              </w:numPr>
              <w:ind w:left="426"/>
              <w:rPr>
                <w:b w:val="0"/>
                <w:color w:val="0000FF"/>
                <w:u w:val="single"/>
              </w:rPr>
            </w:pPr>
            <w:hyperlink r:id="rId9" w:history="1">
              <w:r>
                <w:rPr>
                  <w:b w:val="0"/>
                  <w:color w:val="0000FF"/>
                  <w:u w:val="single"/>
                </w:rPr>
                <w:t>Lokalt opptak - prosedyre for prioritering og håndtering</w:t>
              </w:r>
            </w:hyperlink>
          </w:p>
        </w:tc>
      </w:tr>
      <w:tr>
        <w:tblPrEx>
          <w:tblW w:w="5000" w:type="pct"/>
          <w:tblCellMar>
            <w:left w:w="108" w:type="dxa"/>
            <w:right w:w="108" w:type="dxa"/>
          </w:tblCellMar>
        </w:tblPrEx>
        <w:tc>
          <w:tcPr>
            <w:tcW w:w="1250" w:type="pct"/>
            <w:tcBorders>
              <w:top w:val="nil"/>
              <w:left w:val="nil"/>
              <w:bottom w:val="nil"/>
              <w:right w:val="nil"/>
            </w:tcBorders>
          </w:tcPr>
          <w:p w:rsidP="007D26B5">
            <w:pPr>
              <w:numPr>
                <w:ilvl w:val="0"/>
                <w:numId w:val="0"/>
              </w:numPr>
              <w:ind w:left="426"/>
              <w:rPr>
                <w:b w:val="0"/>
                <w:color w:val="0000FF"/>
                <w:u w:val="single"/>
              </w:rPr>
            </w:pPr>
            <w:hyperlink r:id="rId10" w:history="1">
              <w:r>
                <w:rPr>
                  <w:b w:val="0"/>
                  <w:color w:val="0000FF"/>
                  <w:u w:val="single"/>
                </w:rPr>
                <w:t>H-.2.3</w:t>
              </w:r>
            </w:hyperlink>
          </w:p>
        </w:tc>
        <w:tc>
          <w:tcPr>
            <w:tcW w:w="3750" w:type="pct"/>
            <w:tcBorders>
              <w:top w:val="nil"/>
              <w:left w:val="nil"/>
              <w:bottom w:val="nil"/>
              <w:right w:val="nil"/>
            </w:tcBorders>
          </w:tcPr>
          <w:p w:rsidP="007D26B5">
            <w:pPr>
              <w:numPr>
                <w:ilvl w:val="0"/>
                <w:numId w:val="0"/>
              </w:numPr>
              <w:ind w:left="426"/>
              <w:rPr>
                <w:b w:val="0"/>
                <w:color w:val="0000FF"/>
                <w:u w:val="single"/>
              </w:rPr>
            </w:pPr>
            <w:hyperlink r:id="rId10" w:history="1">
              <w:r>
                <w:rPr>
                  <w:b w:val="0"/>
                  <w:color w:val="0000FF"/>
                  <w:u w:val="single"/>
                </w:rPr>
                <w:t>Informasjon til studenter ved THYF</w:t>
              </w:r>
            </w:hyperlink>
          </w:p>
        </w:tc>
      </w:tr>
    </w:tbl>
    <w:p w:rsidR="00671862" w:rsidP="007D26B5" w14:paraId="3F009015" w14:textId="77777777">
      <w:pPr>
        <w:ind w:left="426"/>
        <w:rPr>
          <w:b/>
          <w:bCs/>
          <w:szCs w:val="18"/>
        </w:rPr>
      </w:pPr>
      <w:bookmarkEnd w:id="7"/>
    </w:p>
    <w:p w:rsidR="001C0FFA" w:rsidRPr="00CF0617" w:rsidP="00E44BC6" w14:paraId="02699B72" w14:textId="3BEAEFDC">
      <w:pPr>
        <w:pStyle w:val="Heading2"/>
        <w:ind w:left="142"/>
      </w:pPr>
      <w:r w:rsidRPr="00CF0617">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7D26B5">
            <w:pPr>
              <w:numPr>
                <w:ilvl w:val="0"/>
                <w:numId w:val="0"/>
              </w:numPr>
              <w:ind w:left="284"/>
              <w:rPr>
                <w:b w:val="0"/>
                <w:color w:val="0000FF"/>
                <w:u w:val="single"/>
              </w:rPr>
            </w:pPr>
            <w:bookmarkStart w:id="8" w:name="EK_EksRef"/>
            <w:hyperlink r:id="rId11" w:history="1">
              <w:r>
                <w:rPr>
                  <w:b w:val="0"/>
                  <w:color w:val="0000FF"/>
                  <w:u w:val="single"/>
                </w:rPr>
                <w:t>1.1.5.8.1 NS-ISO 21001:2018 kapittel 8.1 Planlegging og styring av drift</w:t>
              </w:r>
            </w:hyperlink>
          </w:p>
        </w:tc>
      </w:tr>
      <w:tr>
        <w:tblPrEx>
          <w:tblW w:w="5000" w:type="pct"/>
          <w:tblCellMar>
            <w:left w:w="108" w:type="dxa"/>
            <w:right w:w="108" w:type="dxa"/>
          </w:tblCellMar>
        </w:tblPrEx>
        <w:tc>
          <w:tcPr>
            <w:tcW w:w="3750" w:type="pct"/>
            <w:tcBorders>
              <w:top w:val="nil"/>
              <w:left w:val="nil"/>
              <w:bottom w:val="nil"/>
              <w:right w:val="nil"/>
            </w:tcBorders>
          </w:tcPr>
          <w:p w:rsidP="007D26B5">
            <w:pPr>
              <w:numPr>
                <w:ilvl w:val="0"/>
                <w:numId w:val="0"/>
              </w:numPr>
              <w:ind w:left="284"/>
              <w:rPr>
                <w:b w:val="0"/>
                <w:color w:val="0000FF"/>
                <w:u w:val="single"/>
              </w:rPr>
            </w:pPr>
            <w:hyperlink r:id="rId12" w:history="1">
              <w:r>
                <w:rPr>
                  <w:b w:val="0"/>
                  <w:color w:val="0000FF"/>
                  <w:u w:val="single"/>
                </w:rPr>
                <w:t>1.1.7.5.1 DNV-ST-0029 Section 5.1 Planlegging og ansvarsområder</w:t>
              </w:r>
            </w:hyperlink>
          </w:p>
        </w:tc>
      </w:tr>
    </w:tbl>
    <w:p w:rsidR="001C0FFA" w:rsidRPr="00C316F3" w:rsidP="007D26B5" w14:paraId="02699B76" w14:textId="77777777">
      <w:pPr>
        <w:ind w:left="284"/>
        <w:rPr>
          <w:szCs w:val="18"/>
          <w:lang w:val="en-GB"/>
        </w:rPr>
      </w:pPr>
      <w:bookmarkEnd w:id="8"/>
    </w:p>
    <w:p w:rsidR="001C0FFA" w:rsidRPr="00C316F3" w14:paraId="02699B77" w14:textId="1DEEDB98">
      <w:pPr>
        <w:rPr>
          <w:szCs w:val="18"/>
          <w:lang w:val="en-GB"/>
        </w:rPr>
      </w:pPr>
    </w:p>
    <w:sectPr>
      <w:headerReference w:type="default" r:id="rId13"/>
      <w:footerReference w:type="first" r:id="rId14"/>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swald">
    <w:panose1 w:val="00000500000000000000"/>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0FFA" w14:paraId="02699B83" w14:textId="66700AD2">
    <w:pPr>
      <w:pStyle w:val="Footer"/>
    </w:pPr>
    <w:r>
      <w:fldChar w:fldCharType="begin" w:fldLock="1"/>
    </w:r>
    <w:r>
      <w:instrText xml:space="preserve"> DOCPROPERTY EK_EKPrintMerke </w:instrText>
    </w:r>
    <w:r>
      <w:fldChar w:fldCharType="separate"/>
    </w:r>
    <w:r>
      <w:t>Uoffisiell utskrift er kun gyldig på utskriftsdato</w:t>
    </w:r>
    <w:r>
      <w:fldChar w:fldCharType="end"/>
    </w:r>
    <w:r>
      <w:t xml:space="preserve"> - </w:t>
    </w:r>
    <w:r>
      <w:fldChar w:fldCharType="begin"/>
    </w:r>
    <w:r>
      <w:instrText xml:space="preserve"> TIME \@ "dd.MM.yyyy" </w:instrText>
    </w:r>
    <w:r>
      <w:fldChar w:fldCharType="separate"/>
    </w:r>
    <w:r>
      <w:t>28.03.2025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42D92" w14:paraId="2A0AC5AE" w14:textId="77777777">
      <w:r>
        <w:separator/>
      </w:r>
    </w:p>
  </w:footnote>
  <w:footnote w:type="continuationSeparator" w:id="1">
    <w:p w:rsidR="00042D92" w14:paraId="2D44A3D9" w14:textId="77777777">
      <w:r>
        <w:continuationSeparator/>
      </w:r>
    </w:p>
  </w:footnote>
  <w:footnote w:id="2">
    <w:p w:rsidR="004E63B4" w:rsidP="004E63B4" w14:paraId="6C4C4E4A" w14:textId="77777777">
      <w:pPr>
        <w:pStyle w:val="FootnoteText"/>
      </w:pPr>
      <w:r>
        <w:rPr>
          <w:rStyle w:val="FootnoteReference"/>
        </w:rPr>
        <w:footnoteRef/>
      </w:r>
      <w:r>
        <w:t xml:space="preserve"> </w:t>
      </w:r>
      <w:r w:rsidRPr="00357DD4">
        <w:rPr>
          <w:i/>
          <w:iCs/>
          <w:sz w:val="16"/>
          <w:szCs w:val="16"/>
        </w:rPr>
        <w:t>Trøndelag fylkeskommune er eier av Trøndelag høyere yrkesfagskole (THYF).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4"/>
      <w:gridCol w:w="6"/>
      <w:gridCol w:w="1962"/>
    </w:tblGrid>
    <w:tr w14:paraId="02699B7B" w14:textId="77777777">
      <w:tblPrEx>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Ex>
      <w:tc>
        <w:tcPr>
          <w:tcW w:w="7104" w:type="dxa"/>
          <w:tcBorders>
            <w:bottom w:val="nil"/>
          </w:tcBorders>
        </w:tcPr>
        <w:p w:rsidR="001C0FFA" w14:paraId="02699B79" w14:textId="77777777">
          <w:pPr>
            <w:spacing w:before="80" w:after="80"/>
            <w:rPr>
              <w:b/>
              <w:lang w:val="de-DE"/>
            </w:rPr>
          </w:pPr>
          <w:r>
            <w:rPr>
              <w:b/>
              <w:color w:val="000080"/>
            </w:rPr>
            <w:fldChar w:fldCharType="begin" w:fldLock="1"/>
          </w:r>
          <w:r>
            <w:rPr>
              <w:b/>
              <w:color w:val="000080"/>
              <w:lang w:val="de-DE"/>
            </w:rPr>
            <w:instrText>DOCPROPERTY EK_doktittel</w:instrText>
          </w:r>
          <w:r>
            <w:rPr>
              <w:b/>
              <w:color w:val="000080"/>
            </w:rPr>
            <w:fldChar w:fldCharType="separate"/>
          </w:r>
          <w:r>
            <w:rPr>
              <w:b/>
              <w:color w:val="000080"/>
              <w:lang w:val="de-DE"/>
            </w:rPr>
            <w:t>Praksis for opptak ved THYF</w:t>
          </w:r>
          <w:r>
            <w:rPr>
              <w:b/>
              <w:color w:val="000080"/>
            </w:rPr>
            <w:fldChar w:fldCharType="end"/>
          </w:r>
        </w:p>
      </w:tc>
      <w:tc>
        <w:tcPr>
          <w:tcW w:w="1968" w:type="dxa"/>
          <w:gridSpan w:val="2"/>
          <w:tcBorders>
            <w:bottom w:val="nil"/>
          </w:tcBorders>
        </w:tcPr>
        <w:p w:rsidR="001C0FFA" w14:paraId="02699B7A" w14:textId="77777777">
          <w:pPr>
            <w:spacing w:before="80" w:after="80"/>
          </w:pPr>
          <w:r>
            <w:rPr>
              <w:sz w:val="16"/>
              <w:lang w:val="de-DE"/>
            </w:rPr>
            <w:t>Dok.id.</w:t>
          </w:r>
          <w:r>
            <w:rPr>
              <w:sz w:val="16"/>
            </w:rPr>
            <w:t xml:space="preserve">: </w:t>
          </w:r>
          <w:r>
            <w:rPr>
              <w:sz w:val="20"/>
            </w:rPr>
            <w:fldChar w:fldCharType="begin" w:fldLock="1"/>
          </w:r>
          <w:r>
            <w:rPr>
              <w:color w:val="000080"/>
            </w:rPr>
            <w:instrText>DOCPROPERTY EK_Refnr</w:instrText>
          </w:r>
          <w:r>
            <w:rPr>
              <w:sz w:val="20"/>
            </w:rPr>
            <w:fldChar w:fldCharType="separate"/>
          </w:r>
          <w:r>
            <w:rPr>
              <w:color w:val="000080"/>
            </w:rPr>
            <w:t>H-1.1</w:t>
          </w:r>
          <w:r>
            <w:rPr>
              <w:sz w:val="20"/>
            </w:rPr>
            <w:fldChar w:fldCharType="end"/>
          </w:r>
        </w:p>
      </w:tc>
    </w:tr>
    <w:tr w14:paraId="02699B7E" w14:textId="77777777">
      <w:tblPrEx>
        <w:tblW w:w="0" w:type="auto"/>
        <w:tblInd w:w="70" w:type="dxa"/>
        <w:tblLayout w:type="fixed"/>
        <w:tblCellMar>
          <w:left w:w="70" w:type="dxa"/>
          <w:right w:w="70" w:type="dxa"/>
        </w:tblCellMar>
        <w:tblLook w:val="0000"/>
      </w:tblPrEx>
      <w:tc>
        <w:tcPr>
          <w:tcW w:w="7110" w:type="dxa"/>
          <w:gridSpan w:val="2"/>
          <w:tcBorders>
            <w:left w:val="nil"/>
            <w:bottom w:val="nil"/>
            <w:right w:val="nil"/>
          </w:tcBorders>
        </w:tcPr>
        <w:p w:rsidR="001C0FFA" w14:paraId="02699B7C" w14:textId="77777777">
          <w:pPr>
            <w:spacing w:before="80"/>
            <w:rPr>
              <w:sz w:val="20"/>
            </w:rPr>
          </w:pPr>
        </w:p>
      </w:tc>
      <w:tc>
        <w:tcPr>
          <w:tcW w:w="1962" w:type="dxa"/>
          <w:tcBorders>
            <w:left w:val="nil"/>
            <w:bottom w:val="nil"/>
            <w:right w:val="nil"/>
          </w:tcBorders>
        </w:tcPr>
        <w:p w:rsidR="001C0FFA" w14:paraId="02699B7D" w14:textId="12D76A67">
          <w:pPr>
            <w:spacing w:before="80"/>
            <w:jc w:val="right"/>
            <w:rPr>
              <w:sz w:val="20"/>
            </w:rPr>
          </w:pPr>
          <w:r>
            <w:rPr>
              <w:sz w:val="20"/>
            </w:rPr>
            <w:t xml:space="preserve">Side: </w:t>
          </w:r>
          <w:r>
            <w:rPr>
              <w:sz w:val="20"/>
            </w:rPr>
            <w:fldChar w:fldCharType="begin"/>
          </w:r>
          <w:r>
            <w:rPr>
              <w:sz w:val="20"/>
            </w:rPr>
            <w:instrText xml:space="preserve">PAGE </w:instrText>
          </w:r>
          <w:r>
            <w:rPr>
              <w:sz w:val="20"/>
            </w:rPr>
            <w:fldChar w:fldCharType="separate"/>
          </w:r>
          <w:r>
            <w:rPr>
              <w:rFonts w:ascii="Verdana" w:hAnsi="Verdana"/>
              <w:sz w:val="20"/>
              <w:lang w:val="nb-NO" w:eastAsia="nb-NO" w:bidi="ar-SA"/>
            </w:rPr>
            <w:t>3</w:t>
          </w:r>
          <w:r>
            <w:rPr>
              <w:sz w:val="20"/>
            </w:rPr>
            <w:fldChar w:fldCharType="end"/>
          </w:r>
          <w:r>
            <w:rPr>
              <w:sz w:val="20"/>
            </w:rPr>
            <w:t xml:space="preserve"> av </w:t>
          </w:r>
          <w:r>
            <w:rPr>
              <w:sz w:val="20"/>
            </w:rPr>
            <w:fldChar w:fldCharType="begin"/>
          </w:r>
          <w:r>
            <w:rPr>
              <w:sz w:val="20"/>
            </w:rPr>
            <w:instrText>NUMPAGES</w:instrText>
          </w:r>
          <w:r>
            <w:rPr>
              <w:sz w:val="20"/>
            </w:rPr>
            <w:fldChar w:fldCharType="separate"/>
          </w:r>
          <w:r>
            <w:rPr>
              <w:sz w:val="20"/>
            </w:rPr>
            <w:t>3</w:t>
          </w:r>
          <w:r>
            <w:rPr>
              <w:sz w:val="20"/>
            </w:rPr>
            <w:fldChar w:fldCharType="end"/>
          </w:r>
        </w:p>
      </w:tc>
    </w:tr>
  </w:tbl>
  <w:p w:rsidR="001C0FFA" w14:paraId="02699B7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5FE074A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34C399C"/>
    <w:multiLevelType w:val="hybridMultilevel"/>
    <w:tmpl w:val="B85656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D0119F"/>
    <w:multiLevelType w:val="hybridMultilevel"/>
    <w:tmpl w:val="A2924E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D76D42"/>
    <w:multiLevelType w:val="hybridMultilevel"/>
    <w:tmpl w:val="73DC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8B1EAD"/>
    <w:multiLevelType w:val="hybridMultilevel"/>
    <w:tmpl w:val="A9D02736"/>
    <w:lvl w:ilvl="0">
      <w:start w:val="1"/>
      <w:numFmt w:val="decimal"/>
      <w:lvlText w:val="6.%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59B1540"/>
    <w:multiLevelType w:val="hybridMultilevel"/>
    <w:tmpl w:val="DA0A6CAC"/>
    <w:lvl w:ilvl="0">
      <w:start w:val="1"/>
      <w:numFmt w:val="bullet"/>
      <w:lvlText w:val=""/>
      <w:lvlJc w:val="left"/>
      <w:pPr>
        <w:ind w:left="862" w:hanging="360"/>
      </w:pPr>
      <w:rPr>
        <w:rFonts w:ascii="Symbol" w:hAnsi="Symbol"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6">
    <w:nsid w:val="473B5827"/>
    <w:multiLevelType w:val="hybridMultilevel"/>
    <w:tmpl w:val="225C9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1CB2D63"/>
    <w:multiLevelType w:val="hybridMultilevel"/>
    <w:tmpl w:val="BE22CB98"/>
    <w:lvl w:ilvl="0">
      <w:start w:val="0"/>
      <w:numFmt w:val="bullet"/>
      <w:lvlText w:val="•"/>
      <w:lvlJc w:val="left"/>
      <w:pPr>
        <w:ind w:left="712" w:hanging="570"/>
      </w:pPr>
      <w:rPr>
        <w:rFonts w:ascii="Verdana" w:eastAsia="Times New Roman" w:hAnsi="Verdana" w:cs="Times New Roman" w:hint="default"/>
      </w:rPr>
    </w:lvl>
    <w:lvl w:ilvl="1" w:tentative="1">
      <w:start w:val="1"/>
      <w:numFmt w:val="bullet"/>
      <w:lvlText w:val="o"/>
      <w:lvlJc w:val="left"/>
      <w:pPr>
        <w:ind w:left="1222" w:hanging="360"/>
      </w:pPr>
      <w:rPr>
        <w:rFonts w:ascii="Courier New" w:hAnsi="Courier New" w:cs="Courier New" w:hint="default"/>
      </w:rPr>
    </w:lvl>
    <w:lvl w:ilvl="2" w:tentative="1">
      <w:start w:val="1"/>
      <w:numFmt w:val="bullet"/>
      <w:lvlText w:val=""/>
      <w:lvlJc w:val="left"/>
      <w:pPr>
        <w:ind w:left="1942" w:hanging="360"/>
      </w:pPr>
      <w:rPr>
        <w:rFonts w:ascii="Wingdings" w:hAnsi="Wingdings" w:hint="default"/>
      </w:rPr>
    </w:lvl>
    <w:lvl w:ilvl="3" w:tentative="1">
      <w:start w:val="1"/>
      <w:numFmt w:val="bullet"/>
      <w:lvlText w:val=""/>
      <w:lvlJc w:val="left"/>
      <w:pPr>
        <w:ind w:left="2662" w:hanging="360"/>
      </w:pPr>
      <w:rPr>
        <w:rFonts w:ascii="Symbol" w:hAnsi="Symbol" w:hint="default"/>
      </w:rPr>
    </w:lvl>
    <w:lvl w:ilvl="4" w:tentative="1">
      <w:start w:val="1"/>
      <w:numFmt w:val="bullet"/>
      <w:lvlText w:val="o"/>
      <w:lvlJc w:val="left"/>
      <w:pPr>
        <w:ind w:left="3382" w:hanging="360"/>
      </w:pPr>
      <w:rPr>
        <w:rFonts w:ascii="Courier New" w:hAnsi="Courier New" w:cs="Courier New" w:hint="default"/>
      </w:rPr>
    </w:lvl>
    <w:lvl w:ilvl="5" w:tentative="1">
      <w:start w:val="1"/>
      <w:numFmt w:val="bullet"/>
      <w:lvlText w:val=""/>
      <w:lvlJc w:val="left"/>
      <w:pPr>
        <w:ind w:left="4102" w:hanging="360"/>
      </w:pPr>
      <w:rPr>
        <w:rFonts w:ascii="Wingdings" w:hAnsi="Wingdings" w:hint="default"/>
      </w:rPr>
    </w:lvl>
    <w:lvl w:ilvl="6" w:tentative="1">
      <w:start w:val="1"/>
      <w:numFmt w:val="bullet"/>
      <w:lvlText w:val=""/>
      <w:lvlJc w:val="left"/>
      <w:pPr>
        <w:ind w:left="4822" w:hanging="360"/>
      </w:pPr>
      <w:rPr>
        <w:rFonts w:ascii="Symbol" w:hAnsi="Symbol" w:hint="default"/>
      </w:rPr>
    </w:lvl>
    <w:lvl w:ilvl="7" w:tentative="1">
      <w:start w:val="1"/>
      <w:numFmt w:val="bullet"/>
      <w:lvlText w:val="o"/>
      <w:lvlJc w:val="left"/>
      <w:pPr>
        <w:ind w:left="5542" w:hanging="360"/>
      </w:pPr>
      <w:rPr>
        <w:rFonts w:ascii="Courier New" w:hAnsi="Courier New" w:cs="Courier New" w:hint="default"/>
      </w:rPr>
    </w:lvl>
    <w:lvl w:ilvl="8" w:tentative="1">
      <w:start w:val="1"/>
      <w:numFmt w:val="bullet"/>
      <w:lvlText w:val=""/>
      <w:lvlJc w:val="left"/>
      <w:pPr>
        <w:ind w:left="6262" w:hanging="360"/>
      </w:pPr>
      <w:rPr>
        <w:rFonts w:ascii="Wingdings" w:hAnsi="Wingdings" w:hint="default"/>
      </w:rPr>
    </w:lvl>
  </w:abstractNum>
  <w:abstractNum w:abstractNumId="8">
    <w:nsid w:val="6D5933C9"/>
    <w:multiLevelType w:val="hybridMultilevel"/>
    <w:tmpl w:val="2A40629C"/>
    <w:lvl w:ilvl="0">
      <w:start w:val="1"/>
      <w:numFmt w:val="decimal"/>
      <w:lvlText w:val="6.%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40489323">
    <w:abstractNumId w:val="3"/>
  </w:num>
  <w:num w:numId="2" w16cid:durableId="1829782046">
    <w:abstractNumId w:val="4"/>
  </w:num>
  <w:num w:numId="3" w16cid:durableId="1572885599">
    <w:abstractNumId w:val="2"/>
  </w:num>
  <w:num w:numId="4" w16cid:durableId="393701951">
    <w:abstractNumId w:val="6"/>
  </w:num>
  <w:num w:numId="5" w16cid:durableId="1510482899">
    <w:abstractNumId w:val="1"/>
  </w:num>
  <w:num w:numId="6" w16cid:durableId="940457103">
    <w:abstractNumId w:val="8"/>
  </w:num>
  <w:num w:numId="7" w16cid:durableId="1828281354">
    <w:abstractNumId w:val="5"/>
  </w:num>
  <w:num w:numId="8" w16cid:durableId="620307463">
    <w:abstractNumId w:val="7"/>
  </w:num>
  <w:num w:numId="9" w16cid:durableId="147085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0"/>
    <w:footnote w:id="1"/>
  </w:footnotePr>
  <w:compat>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FA"/>
    <w:rsid w:val="00015CE9"/>
    <w:rsid w:val="000400F7"/>
    <w:rsid w:val="00042D92"/>
    <w:rsid w:val="00052137"/>
    <w:rsid w:val="00064B5B"/>
    <w:rsid w:val="000E1DDE"/>
    <w:rsid w:val="000F306C"/>
    <w:rsid w:val="000F3BF2"/>
    <w:rsid w:val="001009AC"/>
    <w:rsid w:val="00156D01"/>
    <w:rsid w:val="001763A4"/>
    <w:rsid w:val="00190CE5"/>
    <w:rsid w:val="001A2ECE"/>
    <w:rsid w:val="001A500E"/>
    <w:rsid w:val="001C0FFA"/>
    <w:rsid w:val="001E047B"/>
    <w:rsid w:val="001E351B"/>
    <w:rsid w:val="002646B1"/>
    <w:rsid w:val="00265295"/>
    <w:rsid w:val="00280477"/>
    <w:rsid w:val="00292096"/>
    <w:rsid w:val="0030407F"/>
    <w:rsid w:val="00357DD4"/>
    <w:rsid w:val="003D4093"/>
    <w:rsid w:val="00415440"/>
    <w:rsid w:val="004171D6"/>
    <w:rsid w:val="004371C5"/>
    <w:rsid w:val="00454B66"/>
    <w:rsid w:val="0046518B"/>
    <w:rsid w:val="00473133"/>
    <w:rsid w:val="00474A02"/>
    <w:rsid w:val="004A1508"/>
    <w:rsid w:val="004C16AD"/>
    <w:rsid w:val="004E63B4"/>
    <w:rsid w:val="004F400D"/>
    <w:rsid w:val="005037FB"/>
    <w:rsid w:val="00503897"/>
    <w:rsid w:val="00560190"/>
    <w:rsid w:val="00580AD8"/>
    <w:rsid w:val="00593ADB"/>
    <w:rsid w:val="005D217C"/>
    <w:rsid w:val="005F7187"/>
    <w:rsid w:val="006458B4"/>
    <w:rsid w:val="00665A4D"/>
    <w:rsid w:val="00671862"/>
    <w:rsid w:val="006A0586"/>
    <w:rsid w:val="0075102E"/>
    <w:rsid w:val="00781062"/>
    <w:rsid w:val="00784455"/>
    <w:rsid w:val="00791EBF"/>
    <w:rsid w:val="00796D92"/>
    <w:rsid w:val="007D26B5"/>
    <w:rsid w:val="00816FE3"/>
    <w:rsid w:val="0087577E"/>
    <w:rsid w:val="00892B8C"/>
    <w:rsid w:val="008A09F7"/>
    <w:rsid w:val="00912FEC"/>
    <w:rsid w:val="0092756B"/>
    <w:rsid w:val="00931B70"/>
    <w:rsid w:val="0095797D"/>
    <w:rsid w:val="00994961"/>
    <w:rsid w:val="009B7220"/>
    <w:rsid w:val="009F7EB5"/>
    <w:rsid w:val="00A42B73"/>
    <w:rsid w:val="00A768B1"/>
    <w:rsid w:val="00A827C1"/>
    <w:rsid w:val="00A90694"/>
    <w:rsid w:val="00AE0030"/>
    <w:rsid w:val="00AF0D36"/>
    <w:rsid w:val="00B34821"/>
    <w:rsid w:val="00B3769A"/>
    <w:rsid w:val="00B44987"/>
    <w:rsid w:val="00B74E4F"/>
    <w:rsid w:val="00B802D2"/>
    <w:rsid w:val="00B84574"/>
    <w:rsid w:val="00B86626"/>
    <w:rsid w:val="00B926C6"/>
    <w:rsid w:val="00B95694"/>
    <w:rsid w:val="00B95A2D"/>
    <w:rsid w:val="00BF75FB"/>
    <w:rsid w:val="00C316F3"/>
    <w:rsid w:val="00C80B66"/>
    <w:rsid w:val="00C844BC"/>
    <w:rsid w:val="00CC0A69"/>
    <w:rsid w:val="00CC173A"/>
    <w:rsid w:val="00CD5A4D"/>
    <w:rsid w:val="00CF0617"/>
    <w:rsid w:val="00D11A96"/>
    <w:rsid w:val="00D24256"/>
    <w:rsid w:val="00D6432B"/>
    <w:rsid w:val="00D72127"/>
    <w:rsid w:val="00E31228"/>
    <w:rsid w:val="00E34F49"/>
    <w:rsid w:val="00E44BC6"/>
    <w:rsid w:val="00E90D0E"/>
    <w:rsid w:val="00E91597"/>
    <w:rsid w:val="00F11839"/>
    <w:rsid w:val="00F178CC"/>
    <w:rsid w:val="00F26C4C"/>
    <w:rsid w:val="00F60869"/>
    <w:rsid w:val="00F65CB0"/>
    <w:rsid w:val="00F9677E"/>
    <w:rsid w:val="00FA2581"/>
    <w:rsid w:val="00FA5C47"/>
    <w:rsid w:val="00FF57CE"/>
  </w:rsids>
  <w:docVars>
    <w:docVar w:name="Avdeling" w:val="lab_avdeling"/>
    <w:docVar w:name="Avsnitt" w:val="lab_avsnitt"/>
    <w:docVar w:name="Bedriftsnavn" w:val="DEMO - DataKvalitet AS"/>
    <w:docVar w:name="beskyttet" w:val="nei"/>
    <w:docVar w:name="docver" w:val="2.20"/>
    <w:docVar w:name="EksRef" w:val="[EksRef]"/>
    <w:docVar w:name="ek_dbfields" w:val="EK_Avdeling¤2#4¤2#[Avdeling]¤3#EK_Avsnitt¤2#4¤2#[Avsnitt]¤3#EK_Bedriftsnavn¤2#1¤2#TRONDHEIM FAGSKOLE¤3#EK_GjelderFra¤2#0¤2#[GjelderFra]¤3#EK_Opprettet¤2#0¤2#[Opprettet]¤3#EK_Utgitt¤2#0¤2#[Utgitt]¤3#EK_IBrukDato¤2#0¤2#[Endret]¤3#EK_DokumentID¤2#0¤2#[ID]¤3#EK_DokTittel¤2#0¤2#&lt;Ny mal opprettet av JSS&gt;¤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ktittel" w:val="&lt;Ny mal opprettet av JSS&gt;"/>
    <w:docVar w:name="ek_endrfields" w:val="EK_DokTittel¤1#EK_Rapport¤1#"/>
    <w:docVar w:name="ek_format" w:val="-2"/>
    <w:docVar w:name="ek_rapport" w:val="[Tilknyttet rapport]"/>
    <w:docVar w:name="EK_TYPE" w:val="MAL"/>
    <w:docVar w:name="Erstatter" w:val="lab_erstatter"/>
    <w:docVar w:name="KHB" w:val="nei"/>
    <w:docVar w:name="skitten" w:val="0"/>
    <w:docVar w:name="Tittel" w:val="Dette er en Test tittel."/>
  </w:docVars>
  <m:mathPr>
    <m:mathFont m:val="Cambria Math"/>
    <m:wrapRight/>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2699B57"/>
  <w15:docId w15:val="{9FBB40AC-0603-4F54-B465-40540C71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73133"/>
    <w:rPr>
      <w:rFonts w:ascii="Verdana" w:hAnsi="Verdana"/>
      <w:sz w:val="18"/>
    </w:rPr>
  </w:style>
  <w:style w:type="paragraph" w:styleId="Heading1">
    <w:name w:val="heading 1"/>
    <w:basedOn w:val="Normal"/>
    <w:next w:val="Normal"/>
    <w:qFormat/>
    <w:rsid w:val="000E1DDE"/>
    <w:pPr>
      <w:spacing w:before="360"/>
      <w:outlineLvl w:val="0"/>
    </w:pPr>
    <w:rPr>
      <w:b/>
      <w:sz w:val="22"/>
    </w:rPr>
  </w:style>
  <w:style w:type="paragraph" w:styleId="Heading2">
    <w:name w:val="heading 2"/>
    <w:basedOn w:val="Normal"/>
    <w:next w:val="Normal"/>
    <w:qFormat/>
    <w:rsid w:val="007D26B5"/>
    <w:pPr>
      <w:spacing w:before="240" w:after="120"/>
      <w:outlineLvl w:val="1"/>
    </w:pPr>
    <w:rPr>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B86626"/>
    <w:pPr>
      <w:ind w:left="708"/>
    </w:pPr>
  </w:style>
  <w:style w:type="paragraph" w:styleId="FootnoteText">
    <w:name w:val="footnote text"/>
    <w:basedOn w:val="Normal"/>
    <w:link w:val="FotnotetekstTegn"/>
    <w:rsid w:val="00357DD4"/>
    <w:rPr>
      <w:sz w:val="20"/>
    </w:rPr>
  </w:style>
  <w:style w:type="character" w:customStyle="1" w:styleId="FotnotetekstTegn">
    <w:name w:val="Fotnotetekst Tegn"/>
    <w:link w:val="FootnoteText"/>
    <w:rsid w:val="00357DD4"/>
    <w:rPr>
      <w:rFonts w:ascii="Verdana" w:hAnsi="Verdana"/>
    </w:rPr>
  </w:style>
  <w:style w:type="character" w:styleId="FootnoteReference">
    <w:name w:val="footnote reference"/>
    <w:rsid w:val="00357DD4"/>
    <w:rPr>
      <w:vertAlign w:val="superscript"/>
    </w:rPr>
  </w:style>
  <w:style w:type="paragraph" w:styleId="ListBullet2">
    <w:name w:val="List Bullet 2"/>
    <w:basedOn w:val="Normal"/>
    <w:rsid w:val="00503897"/>
    <w:pPr>
      <w:numPr>
        <w:numId w:val="9"/>
      </w:numPr>
      <w:contextualSpacing/>
    </w:pPr>
  </w:style>
  <w:style w:type="paragraph" w:styleId="BodyTextIndent">
    <w:name w:val="Body Text Indent"/>
    <w:basedOn w:val="Normal"/>
    <w:link w:val="BrdtekstinnrykkTegn"/>
    <w:rsid w:val="00503897"/>
    <w:pPr>
      <w:spacing w:after="120"/>
      <w:ind w:left="283"/>
    </w:pPr>
  </w:style>
  <w:style w:type="character" w:customStyle="1" w:styleId="BrdtekstinnrykkTegn">
    <w:name w:val="Brødtekstinnrykk Tegn"/>
    <w:link w:val="BodyTextIndent"/>
    <w:rsid w:val="00503897"/>
    <w:rPr>
      <w:rFonts w:ascii="Verdana" w:hAnsi="Verdana"/>
      <w:sz w:val="18"/>
    </w:rPr>
  </w:style>
  <w:style w:type="paragraph" w:styleId="BodyTextFirstIndent2">
    <w:name w:val="Body Text First Indent 2"/>
    <w:basedOn w:val="BodyTextIndent"/>
    <w:link w:val="Brdtekst-frsteinnrykk2Tegn"/>
    <w:rsid w:val="00503897"/>
    <w:pPr>
      <w:ind w:firstLine="210"/>
    </w:pPr>
  </w:style>
  <w:style w:type="character" w:customStyle="1" w:styleId="Brdtekst-frsteinnrykk2Tegn">
    <w:name w:val="Brødtekst - første innrykk 2 Tegn"/>
    <w:link w:val="BodyTextFirstIndent2"/>
    <w:rsid w:val="00503897"/>
    <w:rPr>
      <w:rFonts w:ascii="Verdana" w:hAnsi="Verdana"/>
      <w:sz w:val="18"/>
    </w:rPr>
  </w:style>
  <w:style w:type="character" w:styleId="Hyperlink">
    <w:name w:val="Hyperlink"/>
    <w:rsid w:val="001E351B"/>
    <w:rPr>
      <w:color w:val="0000FF"/>
      <w:u w:val="single"/>
    </w:rPr>
  </w:style>
  <w:style w:type="character" w:styleId="UnresolvedMention">
    <w:name w:val="Unresolved Mention"/>
    <w:rsid w:val="001E3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thyf-ekstern.dkhosting.no/docs/pub/dok00339.htm" TargetMode="External" /><Relationship Id="rId11" Type="http://schemas.openxmlformats.org/officeDocument/2006/relationships/hyperlink" Target="https://standard.no/" TargetMode="External" /><Relationship Id="rId12" Type="http://schemas.openxmlformats.org/officeDocument/2006/relationships/hyperlink" Target="https://standards.dnv.com/explorer/document/F63D7FA6C45F460DA09A0DBEFB1C4C1F/4"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hyperlink" Target="https://web.trondelagfylke.no/trondelag-hoyere-yrkesfagskole/Studiehandboka/soknadsskjemaer/tilrettelegging-ved-eksamen/" TargetMode="External" /><Relationship Id="rId9" Type="http://schemas.openxmlformats.org/officeDocument/2006/relationships/hyperlink" Target="https://thyf-ekstern.dkhosting.no/docs/pub/DOK00284.pdf"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ANMI\APPDATA\ROAMING\MICROSOFT\TEMPLATES\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F93E2-27D2-4080-9952-661F6D4E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401</TotalTime>
  <Pages>3</Pages>
  <Words>1106</Words>
  <Characters>5866</Characters>
  <Application>Microsoft Office Word</Application>
  <DocSecurity>0</DocSecurity>
  <Lines>48</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Praksis for opptak ved THYF</vt:lpstr>
      <vt:lpstr>	</vt:lpstr>
    </vt:vector>
  </TitlesOfParts>
  <Company>Datakvalitet</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Praksis for opptak ved THYF</dc:title>
  <dc:subject>&lt;Ny mal opprettet av JSS&gt;|[RefNr]|</dc:subject>
  <dc:creator>Handbok</dc:creator>
  <cp:lastModifiedBy>Hans Tore Mikkelsen</cp:lastModifiedBy>
  <cp:revision>30</cp:revision>
  <cp:lastPrinted>2024-04-29T13:04:00Z</cp:lastPrinted>
  <dcterms:created xsi:type="dcterms:W3CDTF">2020-01-20T07:07:00Z</dcterms:created>
  <dcterms:modified xsi:type="dcterms:W3CDTF">2025-03-14T06:25:00Z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r_doktype">
    <vt:lpwstr>[Dokumenttype]</vt:lpwstr>
  </property>
  <property fmtid="{D5CDD505-2E9C-101B-9397-08002B2CF9AE}" pid="3" name="EK_Bedriftsnavn">
    <vt:lpwstr>TRØNDELAG HØYERE YRKESFAGSKOLE avd. TRONDHEIM</vt:lpwstr>
  </property>
  <property fmtid="{D5CDD505-2E9C-101B-9397-08002B2CF9AE}" pid="4" name="EK_DokTittel">
    <vt:lpwstr>Praksis for opptak ved THYF</vt:lpwstr>
  </property>
  <property fmtid="{D5CDD505-2E9C-101B-9397-08002B2CF9AE}" pid="5" name="EK_DokType">
    <vt:lpwstr>Prosessbeskrivelse</vt:lpwstr>
  </property>
  <property fmtid="{D5CDD505-2E9C-101B-9397-08002B2CF9AE}" pid="6" name="EK_EKPrintMerke">
    <vt:lpwstr>Uoffisiell utskrift er kun gyldig på utskriftsdato</vt:lpwstr>
  </property>
  <property fmtid="{D5CDD505-2E9C-101B-9397-08002B2CF9AE}" pid="7" name="EK_GjelderFra">
    <vt:lpwstr>30.01.2025</vt:lpwstr>
  </property>
  <property fmtid="{D5CDD505-2E9C-101B-9397-08002B2CF9AE}" pid="8" name="EK_GjelderTil">
    <vt:lpwstr>30.01.2026</vt:lpwstr>
  </property>
  <property fmtid="{D5CDD505-2E9C-101B-9397-08002B2CF9AE}" pid="9" name="EK_RefNr">
    <vt:lpwstr>H-1.1</vt:lpwstr>
  </property>
  <property fmtid="{D5CDD505-2E9C-101B-9397-08002B2CF9AE}" pid="10" name="EK_Signatur">
    <vt:lpwstr>Rune Wiggen</vt:lpwstr>
  </property>
  <property fmtid="{D5CDD505-2E9C-101B-9397-08002B2CF9AE}" pid="11" name="EK_SkrevetAv">
    <vt:lpwstr>Hans Tore Mikkelsen</vt:lpwstr>
  </property>
  <property fmtid="{D5CDD505-2E9C-101B-9397-08002B2CF9AE}" pid="12" name="EK_Utgave">
    <vt:lpwstr>1.00</vt:lpwstr>
  </property>
  <property fmtid="{D5CDD505-2E9C-101B-9397-08002B2CF9AE}" pid="13" name="EK_Watermark">
    <vt:lpwstr>[Vannmerke]</vt:lpwstr>
  </property>
  <property fmtid="{D5CDD505-2E9C-101B-9397-08002B2CF9AE}" pid="14" name="XD00284">
    <vt:lpwstr>H-1.3</vt:lpwstr>
  </property>
  <property fmtid="{D5CDD505-2E9C-101B-9397-08002B2CF9AE}" pid="15" name="XD00339">
    <vt:lpwstr>H-.2.3</vt:lpwstr>
  </property>
  <property fmtid="{D5CDD505-2E9C-101B-9397-08002B2CF9AE}" pid="16" name="XDF00284">
    <vt:lpwstr>Lokalt opptak - prosedyre for prioritering og håndtering</vt:lpwstr>
  </property>
  <property fmtid="{D5CDD505-2E9C-101B-9397-08002B2CF9AE}" pid="17" name="XDF00339">
    <vt:lpwstr>Informasjon til studenter ved THYF</vt:lpwstr>
  </property>
  <property fmtid="{D5CDD505-2E9C-101B-9397-08002B2CF9AE}" pid="18" name="XDL00284">
    <vt:lpwstr>H-1.3 Lokalt opptak - prosedyre for prioritering og håndtering</vt:lpwstr>
  </property>
  <property fmtid="{D5CDD505-2E9C-101B-9397-08002B2CF9AE}" pid="19" name="XDL00339">
    <vt:lpwstr>H-.2.3 Informasjon til studenter ved THYF</vt:lpwstr>
  </property>
  <property fmtid="{D5CDD505-2E9C-101B-9397-08002B2CF9AE}" pid="20" name="XDT00284">
    <vt:lpwstr>Lokalt opptak - prosedyre for prioritering og håndtering</vt:lpwstr>
  </property>
  <property fmtid="{D5CDD505-2E9C-101B-9397-08002B2CF9AE}" pid="21" name="XDT00339">
    <vt:lpwstr>Informasjon til studenter ved THYF</vt:lpwstr>
  </property>
  <property fmtid="{D5CDD505-2E9C-101B-9397-08002B2CF9AE}" pid="22" name="XR00259">
    <vt:lpwstr>1.1.7.5.1</vt:lpwstr>
  </property>
  <property fmtid="{D5CDD505-2E9C-101B-9397-08002B2CF9AE}" pid="23" name="XR00262">
    <vt:lpwstr>1.1.5.8.1</vt:lpwstr>
  </property>
  <property fmtid="{D5CDD505-2E9C-101B-9397-08002B2CF9AE}" pid="24" name="XRF00259">
    <vt:lpwstr>DNV-ST-0029 Section 5.1 Planlegging og ansvarsområder</vt:lpwstr>
  </property>
  <property fmtid="{D5CDD505-2E9C-101B-9397-08002B2CF9AE}" pid="25" name="XRF00262">
    <vt:lpwstr>NS-ISO 21001:2018 kapittel 8.1 Planlegging og styring av drift</vt:lpwstr>
  </property>
  <property fmtid="{D5CDD505-2E9C-101B-9397-08002B2CF9AE}" pid="26" name="XRL00259">
    <vt:lpwstr>1.1.7.5.1 DNV-ST-0029 Section 5.1 Planlegging og ansvarsområder</vt:lpwstr>
  </property>
  <property fmtid="{D5CDD505-2E9C-101B-9397-08002B2CF9AE}" pid="27" name="XRL00262">
    <vt:lpwstr>1.1.5.8.1 NS-ISO 21001:2018 kapittel 8.1 Planlegging og styring av drift</vt:lpwstr>
  </property>
  <property fmtid="{D5CDD505-2E9C-101B-9397-08002B2CF9AE}" pid="28" name="XRT00259">
    <vt:lpwstr>DNV-ST-0029 Section 5.1 Planlegging og ansvarsområder</vt:lpwstr>
  </property>
  <property fmtid="{D5CDD505-2E9C-101B-9397-08002B2CF9AE}" pid="29" name="XRT00262">
    <vt:lpwstr>NS-ISO 21001:2018 kapittel 8.1 Planlegging og styring av drift</vt:lpwstr>
  </property>
</Properties>
</file>