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1559"/>
        <w:gridCol w:w="709"/>
        <w:gridCol w:w="2268"/>
      </w:tblGrid>
      <w:tr w14:paraId="02699B59" w14:textId="77777777" w:rsidTr="00560190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964"/>
        </w:trPr>
        <w:tc>
          <w:tcPr>
            <w:tcW w:w="6946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65CB0" w14:paraId="02699B57" w14:textId="3FF06DE1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6432B" w:rsidP="00D6432B" w14:paraId="6A5E3522" w14:textId="2F59A1C4">
            <w:pPr>
              <w:spacing w:after="120"/>
              <w:rPr>
                <w:sz w:val="16"/>
              </w:rPr>
            </w:pPr>
            <w:r w:rsidRPr="00560190">
              <w:rPr>
                <w:sz w:val="16"/>
              </w:rPr>
              <w:t>Side</w:t>
            </w:r>
            <w:r w:rsidR="00D11A96">
              <w:rPr>
                <w:sz w:val="16"/>
              </w:rPr>
              <w:t>nr.</w:t>
            </w:r>
            <w:r w:rsidRPr="00560190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 xml:space="preserve">PAGE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1</w:t>
            </w:r>
            <w:r w:rsidRPr="00560190">
              <w:rPr>
                <w:szCs w:val="18"/>
              </w:rPr>
              <w:fldChar w:fldCharType="end"/>
            </w:r>
            <w:r w:rsidRPr="00560190">
              <w:rPr>
                <w:szCs w:val="18"/>
              </w:rPr>
              <w:t xml:space="preserve"> av </w:t>
            </w: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>NUMPAGES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2</w:t>
            </w:r>
            <w:r w:rsidRPr="00560190">
              <w:rPr>
                <w:szCs w:val="18"/>
              </w:rPr>
              <w:fldChar w:fldCharType="end"/>
            </w:r>
          </w:p>
          <w:p w:rsidR="00052137" w:rsidRPr="00D6432B" w:rsidP="00D6432B" w14:paraId="02699B58" w14:textId="10410778">
            <w:pPr>
              <w:spacing w:before="120"/>
              <w:rPr>
                <w:sz w:val="20"/>
              </w:rPr>
            </w:pPr>
            <w:r w:rsidRPr="00560190">
              <w:rPr>
                <w:sz w:val="16"/>
              </w:rPr>
              <w:t>Dok.id.:</w:t>
            </w:r>
            <w:r w:rsidRPr="00CF0617">
              <w:rPr>
                <w:sz w:val="16"/>
              </w:rPr>
              <w:t xml:space="preserve"> </w:t>
            </w:r>
            <w:r w:rsidRPr="00560190">
              <w:rPr>
                <w:b/>
                <w:bCs/>
                <w:szCs w:val="18"/>
              </w:rPr>
              <w:fldChar w:fldCharType="begin" w:fldLock="1"/>
            </w:r>
            <w:r w:rsidRPr="00560190">
              <w:rPr>
                <w:b/>
                <w:bCs/>
                <w:szCs w:val="18"/>
              </w:rPr>
              <w:instrText xml:space="preserve"> DOCPROPERTY EK_RefNr </w:instrText>
            </w:r>
            <w:r w:rsidRPr="00560190">
              <w:rPr>
                <w:b/>
                <w:bCs/>
                <w:szCs w:val="18"/>
              </w:rPr>
              <w:fldChar w:fldCharType="separate"/>
            </w:r>
            <w:r w:rsidRPr="00560190">
              <w:rPr>
                <w:b/>
                <w:bCs/>
                <w:szCs w:val="18"/>
              </w:rPr>
              <w:t>1.3.7</w:t>
            </w:r>
            <w:r w:rsidRPr="00560190">
              <w:rPr>
                <w:b/>
                <w:bCs/>
                <w:szCs w:val="18"/>
              </w:rPr>
              <w:fldChar w:fldCharType="end"/>
            </w:r>
          </w:p>
        </w:tc>
      </w:tr>
      <w:tr w14:paraId="02699B5C" w14:textId="77777777" w:rsidTr="00560190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1A2ECE" w14:paraId="02699B5A" w14:textId="77777777">
            <w:pPr>
              <w:spacing w:before="80" w:after="80"/>
              <w:rPr>
                <w:b/>
              </w:rPr>
            </w:pPr>
            <w:r w:rsidRPr="001A2ECE">
              <w:rPr>
                <w:b/>
                <w:sz w:val="22"/>
                <w:szCs w:val="24"/>
              </w:rPr>
              <w:fldChar w:fldCharType="begin" w:fldLock="1"/>
            </w:r>
            <w:r w:rsidRPr="001A2ECE">
              <w:rPr>
                <w:b/>
                <w:sz w:val="22"/>
                <w:szCs w:val="24"/>
              </w:rPr>
              <w:instrText xml:space="preserve"> DOCPROPERTY EK_DokTittel </w:instrText>
            </w:r>
            <w:r w:rsidRPr="001A2ECE">
              <w:rPr>
                <w:b/>
                <w:sz w:val="22"/>
                <w:szCs w:val="24"/>
              </w:rPr>
              <w:fldChar w:fldCharType="separate"/>
            </w:r>
            <w:r w:rsidRPr="001A2ECE">
              <w:rPr>
                <w:b/>
                <w:sz w:val="22"/>
                <w:szCs w:val="24"/>
              </w:rPr>
              <w:t>Varsle om kritikkverdige forhold ved THYF</w:t>
            </w:r>
            <w:r w:rsidRPr="001A2ECE">
              <w:rPr>
                <w:b/>
                <w:sz w:val="22"/>
                <w:szCs w:val="24"/>
              </w:rPr>
              <w:fldChar w:fldCharType="end"/>
            </w:r>
            <w:bookmarkStart w:id="0" w:name="tempHer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CE" w:rsidRPr="004A1508" w14:paraId="02699B5B" w14:textId="5970CC4A">
            <w:pPr>
              <w:spacing w:before="80" w:after="80"/>
              <w:rPr>
                <w:b/>
                <w:bCs/>
              </w:rPr>
            </w:pPr>
            <w:r w:rsidRPr="004A1508">
              <w:rPr>
                <w:b/>
                <w:bCs/>
              </w:rPr>
              <w:fldChar w:fldCharType="begin" w:fldLock="1"/>
            </w:r>
            <w:r w:rsidRPr="004A1508">
              <w:rPr>
                <w:b/>
                <w:bCs/>
              </w:rPr>
              <w:instrText>DOCPROPERTY EK_DokType \*charformat \* MERGEFORMAT</w:instrText>
            </w:r>
            <w:r w:rsidRPr="004A1508">
              <w:rPr>
                <w:b/>
                <w:bCs/>
              </w:rPr>
              <w:fldChar w:fldCharType="separate"/>
            </w:r>
            <w:r w:rsidRPr="004A1508">
              <w:rPr>
                <w:b/>
                <w:bCs/>
                <w:noProof/>
              </w:rPr>
              <w:t>Prosedyre</w:t>
            </w:r>
            <w:r w:rsidRPr="004A1508">
              <w:rPr>
                <w:b/>
                <w:bCs/>
              </w:rPr>
              <w:fldChar w:fldCharType="end"/>
            </w:r>
          </w:p>
        </w:tc>
      </w:tr>
      <w:tr w14:paraId="02699B67" w14:textId="77777777" w:rsidTr="00D6432B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D6432B" w:rsidRPr="00560190" w:rsidP="00D6432B" w14:paraId="02699B5D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Utgave:</w:t>
            </w:r>
          </w:p>
          <w:p w:rsidR="00D6432B" w:rsidRPr="00560190" w:rsidP="00D6432B" w14:paraId="02699B5E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EK_Utgave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1.00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02699B5F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Skrevet av:</w:t>
            </w:r>
          </w:p>
          <w:p w:rsidR="00D6432B" w:rsidRPr="00560190" w:rsidP="00D6432B" w14:paraId="02699B60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EK_SkrevetAv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Hans Tore Mikkelsen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02699B61" w14:textId="03268A66">
            <w:pPr>
              <w:rPr>
                <w:sz w:val="16"/>
              </w:rPr>
            </w:pPr>
            <w:r w:rsidRPr="00560190">
              <w:rPr>
                <w:sz w:val="16"/>
              </w:rPr>
              <w:t>Gjelder fra</w:t>
            </w:r>
            <w:r>
              <w:rPr>
                <w:sz w:val="16"/>
              </w:rPr>
              <w:t>/til</w:t>
            </w:r>
            <w:r w:rsidRPr="00560190">
              <w:rPr>
                <w:sz w:val="16"/>
              </w:rPr>
              <w:t>:</w:t>
            </w:r>
          </w:p>
          <w:p w:rsidR="00D6432B" w:rsidRPr="00560190" w:rsidP="00D6432B" w14:paraId="02699B62" w14:textId="77777777">
            <w:pPr>
              <w:jc w:val="center"/>
              <w:rPr>
                <w:szCs w:val="18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EK_GjelderFra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03.06.2024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29C84A1B" w14:textId="61E0927A">
            <w:pPr>
              <w:rPr>
                <w:szCs w:val="18"/>
              </w:rPr>
            </w:pPr>
            <w:r w:rsidRPr="00560190">
              <w:rPr>
                <w:sz w:val="16"/>
              </w:rPr>
              <w:t>G</w:t>
            </w:r>
            <w:r>
              <w:rPr>
                <w:sz w:val="16"/>
              </w:rPr>
              <w:t>jelder</w:t>
            </w:r>
            <w:r w:rsidRPr="00560190">
              <w:rPr>
                <w:sz w:val="16"/>
              </w:rPr>
              <w:t xml:space="preserve"> til:</w:t>
            </w:r>
            <w:r>
              <w:rPr>
                <w:sz w:val="16"/>
              </w:rPr>
              <w:t xml:space="preserve"> </w:t>
            </w:r>
          </w:p>
          <w:p w:rsidR="00D6432B" w:rsidRPr="00560190" w:rsidP="00D6432B" w14:paraId="02699B64" w14:textId="03CFBA8A">
            <w:pPr>
              <w:jc w:val="center"/>
              <w:rPr>
                <w:szCs w:val="18"/>
              </w:rPr>
            </w:pPr>
            <w:r w:rsidRPr="00560190">
              <w:fldChar w:fldCharType="begin" w:fldLock="1"/>
            </w:r>
            <w:r w:rsidRPr="00560190">
              <w:instrText>DOCPROPERTY EK_GjelderTil \*charformat \* MERGEFORMAT</w:instrText>
            </w:r>
            <w:r w:rsidRPr="00560190">
              <w:fldChar w:fldCharType="separate"/>
            </w:r>
            <w:r w:rsidRPr="00560190">
              <w:rPr>
                <w:noProof/>
              </w:rPr>
              <w:t>[]</w:t>
            </w:r>
            <w:r w:rsidRPr="00560190"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6432B" w:rsidRPr="00560190" w:rsidP="00D6432B" w14:paraId="277282C8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Godkjent av:</w:t>
            </w:r>
          </w:p>
          <w:p w:rsidR="00D6432B" w:rsidRPr="00560190" w:rsidP="00D6432B" w14:paraId="02699B66" w14:textId="6F0FF2DE">
            <w:pPr>
              <w:jc w:val="center"/>
              <w:rPr>
                <w:szCs w:val="18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EK_Signatur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Svein Ove Dyrdal</w:t>
            </w:r>
            <w:r w:rsidRPr="00560190">
              <w:rPr>
                <w:szCs w:val="18"/>
              </w:rPr>
              <w:fldChar w:fldCharType="end"/>
            </w:r>
          </w:p>
        </w:tc>
      </w:tr>
    </w:tbl>
    <w:p w:rsidR="00A90694" w:rsidRPr="00A90694" w:rsidP="00F75BD4" w14:paraId="5A214358" w14:textId="0A6914AC">
      <w:pPr>
        <w:pStyle w:val="Heading1"/>
        <w:numPr>
          <w:ilvl w:val="0"/>
          <w:numId w:val="3"/>
        </w:numPr>
        <w:spacing w:after="120"/>
        <w:jc w:val="both"/>
      </w:pPr>
      <w:r w:rsidRPr="009F7EB5">
        <w:t>Formål og omfang</w:t>
      </w:r>
    </w:p>
    <w:p w:rsidR="00E2325F" w:rsidP="00F75BD4" w14:paraId="7A2B614D" w14:textId="36FB3042">
      <w:pPr>
        <w:spacing w:after="120"/>
        <w:ind w:left="426"/>
        <w:jc w:val="both"/>
      </w:pPr>
      <w:bookmarkStart w:id="1" w:name="_Hlk168298980"/>
      <w:r>
        <w:t>Prosedyren skal sørge for at ansatte og studenter ved Trøndelag høyere yrkesfagskole (THYF) har mulighet for å varsle om kritikkverdige forhold.</w:t>
      </w:r>
    </w:p>
    <w:p w:rsidR="0092133C" w:rsidP="00F75BD4" w14:paraId="1FCEF18A" w14:textId="77777777">
      <w:pPr>
        <w:spacing w:after="120"/>
        <w:ind w:left="426"/>
        <w:jc w:val="both"/>
      </w:pPr>
      <w:r>
        <w:t xml:space="preserve">Hvorfor skal </w:t>
      </w:r>
      <w:r w:rsidRPr="00D83645">
        <w:rPr>
          <w:u w:val="single"/>
        </w:rPr>
        <w:t>du</w:t>
      </w:r>
      <w:r>
        <w:t xml:space="preserve"> varsle? </w:t>
      </w:r>
      <w:r w:rsidRPr="00D83645">
        <w:t xml:space="preserve">Du skal varsle fordi det er i </w:t>
      </w:r>
      <w:r>
        <w:t xml:space="preserve">THYFs </w:t>
      </w:r>
      <w:r w:rsidRPr="00D83645">
        <w:t>interesse å rette opp kritikkverdige forhold. På den måten ivaretar vi også felles verdier og arbeidsmiljøet i fylkeskommunen bedre.</w:t>
      </w:r>
      <w:r>
        <w:t xml:space="preserve"> </w:t>
      </w:r>
    </w:p>
    <w:p w:rsidR="00D83645" w:rsidP="00F75BD4" w14:paraId="22A6BE91" w14:textId="1C3999DA">
      <w:pPr>
        <w:spacing w:after="120"/>
        <w:ind w:left="426"/>
        <w:jc w:val="both"/>
      </w:pPr>
      <w:r>
        <w:t xml:space="preserve">I likhet med forbedringsforslag, avvik, hendelser og klager, skal muligheten for å varsle om kritikkverdige forhold </w:t>
      </w:r>
      <w:r>
        <w:t xml:space="preserve">bidra til å forbedre kvaliteten på tjenester levert av </w:t>
      </w:r>
      <w:r>
        <w:t xml:space="preserve">og ved </w:t>
      </w:r>
      <w:r>
        <w:t>THYF.</w:t>
      </w:r>
    </w:p>
    <w:bookmarkEnd w:id="1"/>
    <w:p w:rsidR="00B86626" w:rsidRPr="009F7EB5" w:rsidP="00F75BD4" w14:paraId="3A2F7B45" w14:textId="3BC04E70">
      <w:pPr>
        <w:pStyle w:val="Heading1"/>
        <w:numPr>
          <w:ilvl w:val="0"/>
          <w:numId w:val="3"/>
        </w:numPr>
        <w:spacing w:after="120"/>
        <w:jc w:val="both"/>
      </w:pPr>
      <w:r w:rsidRPr="009F7EB5">
        <w:t>Målgruppe</w:t>
      </w:r>
    </w:p>
    <w:p w:rsidR="00B86626" w:rsidP="00F75BD4" w14:paraId="0353A00B" w14:textId="10D612A6">
      <w:pPr>
        <w:spacing w:after="120"/>
        <w:ind w:left="426"/>
        <w:jc w:val="both"/>
      </w:pPr>
      <w:r w:rsidRPr="0038775B">
        <w:t>Prosedyren gjelder for alle ansatte og studenter ved THYF</w:t>
      </w:r>
      <w:r>
        <w:t>. I tillegg gis det mulighet for eksterne, eksempelvis innleid personale, til å varsle om tilsvarende forhold.</w:t>
      </w:r>
    </w:p>
    <w:p w:rsidR="00B86626" w:rsidP="00F75BD4" w14:paraId="7CF7A7C6" w14:textId="0CB6B653">
      <w:pPr>
        <w:pStyle w:val="Heading1"/>
        <w:numPr>
          <w:ilvl w:val="0"/>
          <w:numId w:val="3"/>
        </w:numPr>
        <w:spacing w:after="120"/>
        <w:jc w:val="both"/>
      </w:pPr>
      <w:bookmarkStart w:id="2" w:name="_Hlk168299163"/>
      <w:r>
        <w:t>Forklaring av ord og uttrykk</w:t>
      </w:r>
    </w:p>
    <w:p w:rsidR="00AA2479" w:rsidP="00D83645" w14:paraId="4E7E621A" w14:textId="77777777">
      <w:pPr>
        <w:spacing w:after="120"/>
        <w:ind w:left="426"/>
        <w:jc w:val="both"/>
      </w:pPr>
      <w:r w:rsidRPr="00AA2479">
        <w:t>Kritikkverdige forhold omfatter lovbrudd, straffbare forhold, trakassering, diskriminering eller fare for liv og helse. I tillegg kan skriftlige etiske retningslinjer og normer som det er bred oppslutning til i samfunnet omfattes av begrepet.</w:t>
      </w:r>
    </w:p>
    <w:p w:rsidR="0092133C" w:rsidP="00D83645" w14:paraId="4D70C04C" w14:textId="78BBE73C">
      <w:pPr>
        <w:spacing w:after="120"/>
        <w:ind w:left="426"/>
        <w:jc w:val="both"/>
      </w:pPr>
      <w:r>
        <w:t xml:space="preserve">Varsling i arbeidslivet handler om å </w:t>
      </w:r>
      <w:r w:rsidRPr="0092133C">
        <w:rPr>
          <w:u w:val="single"/>
        </w:rPr>
        <w:t>si fra</w:t>
      </w:r>
      <w:r w:rsidRPr="00DE6F6D">
        <w:t xml:space="preserve"> om </w:t>
      </w:r>
      <w:r w:rsidRPr="00DE6F6D">
        <w:rPr>
          <w:i/>
          <w:iCs/>
        </w:rPr>
        <w:t>kritikkverdige forhold på egen arbeidsplass</w:t>
      </w:r>
      <w:r>
        <w:t>. I arbeidslivet er retten til å varsle gitt gjennom Arbeidsmiljølovens § 2A.</w:t>
      </w:r>
    </w:p>
    <w:p w:rsidR="00D83645" w:rsidP="00D83645" w14:paraId="5D566B6D" w14:textId="4A4E01FD">
      <w:pPr>
        <w:spacing w:after="120"/>
        <w:ind w:left="426"/>
        <w:jc w:val="both"/>
      </w:pPr>
      <w:r>
        <w:t xml:space="preserve">Ved THYF handler dette i tillegg om å gi mulighet for studenter til </w:t>
      </w:r>
      <w:r w:rsidRPr="00DE6F6D">
        <w:t xml:space="preserve">å </w:t>
      </w:r>
      <w:r w:rsidRPr="0092133C">
        <w:rPr>
          <w:u w:val="single"/>
        </w:rPr>
        <w:t>si fra</w:t>
      </w:r>
      <w:r w:rsidRPr="00DE6F6D">
        <w:t xml:space="preserve"> om </w:t>
      </w:r>
      <w:r w:rsidRPr="00DE6F6D">
        <w:rPr>
          <w:i/>
          <w:iCs/>
        </w:rPr>
        <w:t>kritikkverdige forhold innenfor læringsmiljøet</w:t>
      </w:r>
      <w:r>
        <w:t xml:space="preserve">. Her er det Fagskolelovens § 15 som gir studenter </w:t>
      </w:r>
      <w:r w:rsidR="008A1A1B">
        <w:t xml:space="preserve">rett og </w:t>
      </w:r>
      <w:r>
        <w:t>mulighet til å si fra.</w:t>
      </w:r>
    </w:p>
    <w:bookmarkEnd w:id="2"/>
    <w:p w:rsidR="00B86626" w:rsidRPr="009F7EB5" w:rsidP="00F75BD4" w14:paraId="431E085A" w14:textId="7C59F2DE">
      <w:pPr>
        <w:pStyle w:val="Heading1"/>
        <w:numPr>
          <w:ilvl w:val="0"/>
          <w:numId w:val="3"/>
        </w:numPr>
        <w:spacing w:after="120"/>
        <w:jc w:val="both"/>
      </w:pPr>
      <w:r w:rsidRPr="009F7EB5">
        <w:t>Ansvar og myndighet</w:t>
      </w:r>
    </w:p>
    <w:p w:rsidR="00B86626" w:rsidP="00F75BD4" w14:paraId="39F370DE" w14:textId="4D93D56B">
      <w:pPr>
        <w:spacing w:after="120"/>
        <w:ind w:left="426"/>
        <w:jc w:val="both"/>
      </w:pPr>
      <w:bookmarkStart w:id="3" w:name="_Hlk168299123"/>
      <w:r>
        <w:t>Rektor har overordnet ansvar.</w:t>
      </w:r>
    </w:p>
    <w:p w:rsidR="00FE648D" w:rsidP="00F75BD4" w14:paraId="5D620869" w14:textId="719FD35F">
      <w:pPr>
        <w:spacing w:after="120"/>
        <w:ind w:left="426"/>
        <w:jc w:val="both"/>
      </w:pPr>
      <w:r>
        <w:t xml:space="preserve">Varslingskanal for ansatte driftes av Ernst &amp; Young som i samråd med Trøndelag fylkeskommune peker ut </w:t>
      </w:r>
      <w:r w:rsidR="00AA2479">
        <w:t>saksbehandler for den enkelte varslingssak.</w:t>
      </w:r>
    </w:p>
    <w:p w:rsidR="00D83645" w:rsidP="00F75BD4" w14:paraId="1ACA7559" w14:textId="4AD6AFF0">
      <w:pPr>
        <w:spacing w:after="120"/>
        <w:ind w:left="426"/>
        <w:jc w:val="both"/>
      </w:pPr>
      <w:r>
        <w:t>Kvalitetsrådgiver har systemansvar</w:t>
      </w:r>
      <w:r w:rsidR="0092133C">
        <w:t>,</w:t>
      </w:r>
      <w:r>
        <w:t xml:space="preserve"> og forvalter muligheten for varsling av kritikkverdige forhold</w:t>
      </w:r>
      <w:r w:rsidR="0092133C">
        <w:t xml:space="preserve"> innenfor </w:t>
      </w:r>
      <w:r w:rsidR="000F5A8E">
        <w:t xml:space="preserve">THYFs </w:t>
      </w:r>
      <w:r w:rsidR="0092133C">
        <w:t>kvalitetssystem</w:t>
      </w:r>
      <w:r w:rsidR="00AA2479">
        <w:t xml:space="preserve"> for studenter som sender inn varsel</w:t>
      </w:r>
      <w:r>
        <w:t xml:space="preserve">. Som ledelsens representant kan kvalitetsrådgiver peke ut saksbehandler for </w:t>
      </w:r>
      <w:r w:rsidR="0092133C">
        <w:t xml:space="preserve">mottatt </w:t>
      </w:r>
      <w:r>
        <w:t>varsel i samråd med rektor.</w:t>
      </w:r>
    </w:p>
    <w:bookmarkEnd w:id="3"/>
    <w:p w:rsidR="005173F3" w:rsidP="00D83645" w14:paraId="770E6B77" w14:textId="71A22991">
      <w:pPr>
        <w:spacing w:after="120"/>
        <w:ind w:left="426"/>
        <w:jc w:val="both"/>
      </w:pPr>
      <w:r>
        <w:t xml:space="preserve">Alle medarbeidere </w:t>
      </w:r>
      <w:r>
        <w:t xml:space="preserve">ved THYF </w:t>
      </w:r>
      <w:r>
        <w:t>oppfordres til å melde om kritikkverdige forhold. De er i tillegg forpliktet til å bistå studenter og eksterne med å varsle om eventuelle kritikkverdige forhold.</w:t>
      </w:r>
    </w:p>
    <w:p w:rsidR="00F9677E" w:rsidRPr="00F9677E" w:rsidP="000F5A8E" w14:paraId="2A668A33" w14:textId="034F222D">
      <w:pPr>
        <w:pStyle w:val="Heading1"/>
        <w:numPr>
          <w:ilvl w:val="0"/>
          <w:numId w:val="3"/>
        </w:numPr>
        <w:spacing w:after="120"/>
        <w:jc w:val="both"/>
      </w:pPr>
      <w:r w:rsidRPr="009F7EB5">
        <w:t>Beskrivelse</w:t>
      </w:r>
    </w:p>
    <w:p w:rsidR="00B86626" w:rsidRPr="000F5A8E" w:rsidP="00F75BD4" w14:paraId="62ACA4DF" w14:textId="72114C1F">
      <w:pPr>
        <w:spacing w:after="120"/>
        <w:ind w:left="426"/>
        <w:jc w:val="both"/>
        <w:rPr>
          <w:b/>
          <w:bCs/>
        </w:rPr>
      </w:pPr>
      <w:r w:rsidRPr="000F5A8E">
        <w:rPr>
          <w:b/>
          <w:bCs/>
        </w:rPr>
        <w:t>5.1</w:t>
      </w:r>
      <w:r w:rsidRPr="000F5A8E">
        <w:rPr>
          <w:b/>
          <w:bCs/>
        </w:rPr>
        <w:t>. Varsling av kritikkverdige forhold for ansatte</w:t>
      </w:r>
    </w:p>
    <w:p w:rsidR="000F5A8E" w:rsidP="00F75BD4" w14:paraId="774C385B" w14:textId="60DD4303">
      <w:pPr>
        <w:spacing w:after="120"/>
        <w:ind w:left="426"/>
        <w:jc w:val="both"/>
      </w:pPr>
      <w:r>
        <w:t>Medarbeider som ønsker å varsle om et kritikkverdig forhold kan gjøre dette via egen knapp for innmelding av sak i kvalitetsportalen. Ved å trykke på knappen ledes du til egen nettside om varsling ved Trøndelag fylkeskommunes intranett. Her får du nødvendig informasjon om varsling og tilgang til egen varslingskanal</w:t>
      </w:r>
    </w:p>
    <w:p w:rsidR="00FE648D" w:rsidP="00F75BD4" w14:paraId="20A15C2E" w14:textId="6F97765F">
      <w:pPr>
        <w:spacing w:after="120"/>
        <w:ind w:left="426"/>
        <w:jc w:val="both"/>
      </w:pPr>
      <w:r>
        <w:t>Alternativt er det mulig å logge på intranettet og varsle gjennom samme varslingskanal.</w:t>
      </w:r>
    </w:p>
    <w:p w:rsidR="00FE648D" w:rsidP="00F75BD4" w14:paraId="367FAB08" w14:textId="401BB640">
      <w:pPr>
        <w:spacing w:after="120"/>
        <w:ind w:left="426"/>
        <w:jc w:val="both"/>
      </w:pPr>
      <w:r>
        <w:t xml:space="preserve">Vedkommende bes om å rådføre seg med kollega, ansatte-tillitsvalgt eller annen person som kjenner systemet for varsling godt. </w:t>
      </w:r>
    </w:p>
    <w:p w:rsidR="000F5A8E" w:rsidRPr="000F5A8E" w:rsidP="00F75BD4" w14:paraId="5B695437" w14:textId="0CA722A3">
      <w:pPr>
        <w:spacing w:after="120"/>
        <w:ind w:left="426"/>
        <w:jc w:val="both"/>
        <w:rPr>
          <w:b/>
          <w:bCs/>
        </w:rPr>
      </w:pPr>
      <w:r>
        <w:br w:type="page"/>
      </w:r>
      <w:r w:rsidRPr="000F5A8E">
        <w:rPr>
          <w:b/>
          <w:bCs/>
        </w:rPr>
        <w:t>5.</w:t>
      </w:r>
      <w:r w:rsidRPr="000F5A8E">
        <w:rPr>
          <w:b/>
          <w:bCs/>
        </w:rPr>
        <w:t>2.</w:t>
      </w:r>
      <w:r w:rsidRPr="000F5A8E">
        <w:rPr>
          <w:b/>
          <w:bCs/>
        </w:rPr>
        <w:t xml:space="preserve"> </w:t>
      </w:r>
      <w:r w:rsidRPr="000F5A8E">
        <w:rPr>
          <w:b/>
          <w:bCs/>
        </w:rPr>
        <w:t xml:space="preserve"> Varsling av kritikkverdige forhold for studenter</w:t>
      </w:r>
    </w:p>
    <w:p w:rsidR="00BE5CEF" w:rsidP="00BE5CEF" w14:paraId="2D9275BE" w14:textId="00C54D22">
      <w:pPr>
        <w:spacing w:after="120"/>
        <w:ind w:left="426"/>
        <w:jc w:val="both"/>
      </w:pPr>
      <w:r>
        <w:t xml:space="preserve">Student som ønsker å varsle om kritikkverdig forhold, </w:t>
      </w:r>
      <w:r>
        <w:t>bes om å rådføre seg med ansatt ved THYF, student-tillitsvalgt</w:t>
      </w:r>
      <w:r w:rsidR="001B0261">
        <w:t>, studentombud</w:t>
      </w:r>
      <w:r>
        <w:t xml:space="preserve"> eller annen person som kjenner systemet for varsling godt</w:t>
      </w:r>
      <w:r>
        <w:t xml:space="preserve"> før varsling iverksettes</w:t>
      </w:r>
      <w:r>
        <w:t xml:space="preserve">. </w:t>
      </w:r>
      <w:r w:rsidR="001B0261">
        <w:t>Varsling må pr. i dag skje via ansatt ved THYF.</w:t>
      </w:r>
    </w:p>
    <w:p w:rsidR="000F5A8E" w:rsidP="00F75BD4" w14:paraId="1CA253A5" w14:textId="77777777">
      <w:pPr>
        <w:spacing w:after="120"/>
        <w:ind w:left="426"/>
        <w:jc w:val="both"/>
      </w:pPr>
    </w:p>
    <w:p w:rsidR="00BE5CEF" w:rsidRPr="00BE5CEF" w:rsidP="00BE5CEF" w14:paraId="6D4D5A98" w14:textId="18C823E7">
      <w:pPr>
        <w:spacing w:after="120"/>
        <w:ind w:left="426"/>
        <w:jc w:val="center"/>
        <w:rPr>
          <w:color w:val="FF0000"/>
          <w:u w:val="single"/>
        </w:rPr>
      </w:pPr>
      <w:r w:rsidRPr="00BE5CEF">
        <w:rPr>
          <w:color w:val="FF0000"/>
        </w:rPr>
        <w:t xml:space="preserve">Skjema for </w:t>
      </w:r>
      <w:r w:rsidR="001B0261">
        <w:rPr>
          <w:color w:val="FF0000"/>
        </w:rPr>
        <w:t xml:space="preserve">varsling av kritikkverdige forhold </w:t>
      </w:r>
      <w:r w:rsidRPr="00BE5CEF">
        <w:rPr>
          <w:color w:val="FF0000"/>
        </w:rPr>
        <w:t>er under utvikling</w:t>
      </w:r>
      <w:r w:rsidR="001B0261">
        <w:rPr>
          <w:color w:val="FF0000"/>
        </w:rPr>
        <w:t>,</w:t>
      </w:r>
      <w:r w:rsidRPr="00BE5CEF">
        <w:rPr>
          <w:color w:val="FF0000"/>
        </w:rPr>
        <w:t xml:space="preserve"> og vil foreligge klart for bruk ved studiestart høsten 2024.</w:t>
      </w:r>
      <w:r>
        <w:rPr>
          <w:color w:val="FF0000"/>
        </w:rPr>
        <w:t xml:space="preserve"> Frem til da kan student som ønsker å varsle ta kontakt med </w:t>
      </w:r>
      <w:r w:rsidR="001B0261">
        <w:rPr>
          <w:color w:val="FF0000"/>
        </w:rPr>
        <w:t>ansatt på eget utdanningsområde eller i administrasjonen/studieadministrasjonen</w:t>
      </w:r>
      <w:r>
        <w:rPr>
          <w:color w:val="FF0000"/>
        </w:rPr>
        <w:t>!</w:t>
      </w:r>
    </w:p>
    <w:p w:rsidR="000F5A8E" w:rsidP="00F75BD4" w14:paraId="586504D4" w14:textId="77777777">
      <w:pPr>
        <w:spacing w:after="120"/>
        <w:ind w:left="426"/>
        <w:jc w:val="both"/>
      </w:pPr>
    </w:p>
    <w:p w:rsidR="000F5A8E" w:rsidRPr="000F5A8E" w:rsidP="00F75BD4" w14:paraId="6B9D993D" w14:textId="6F348777">
      <w:pPr>
        <w:spacing w:after="120"/>
        <w:ind w:left="426"/>
        <w:jc w:val="both"/>
        <w:rPr>
          <w:b/>
          <w:bCs/>
        </w:rPr>
      </w:pPr>
      <w:r w:rsidRPr="000F5A8E">
        <w:rPr>
          <w:b/>
          <w:bCs/>
        </w:rPr>
        <w:t>5.3. Behandling av varslingssaker</w:t>
      </w:r>
    </w:p>
    <w:p w:rsidR="000F5A8E" w:rsidP="00F75BD4" w14:paraId="45784039" w14:textId="3AFCA19D">
      <w:pPr>
        <w:spacing w:after="120"/>
        <w:ind w:left="426"/>
        <w:jc w:val="both"/>
      </w:pPr>
      <w:r>
        <w:t>Saksbehandler for varslingssak meldt inn av ansatt ved THYF eller Trøndelag fylkeskommune (TRFK), pekes ut av Ernst &amp; Young i samråd med TRFK.</w:t>
      </w:r>
    </w:p>
    <w:p w:rsidR="008A1A1B" w:rsidP="00F75BD4" w14:paraId="4D92466E" w14:textId="1C260A6A">
      <w:pPr>
        <w:spacing w:after="120"/>
        <w:ind w:left="426"/>
        <w:jc w:val="both"/>
      </w:pPr>
      <w:r>
        <w:t>For sak innmeldt av student peker kvalitetsrådgiver i samråd med rektor ut saksbehandler.</w:t>
      </w:r>
    </w:p>
    <w:p w:rsidR="008A1A1B" w:rsidP="00F75BD4" w14:paraId="5A42B594" w14:textId="107585C9">
      <w:pPr>
        <w:spacing w:after="120"/>
        <w:ind w:left="426"/>
        <w:jc w:val="both"/>
      </w:pPr>
      <w:r>
        <w:t>Følgende forutsetninger gjelder ved behandling av varslingssak:</w:t>
      </w:r>
    </w:p>
    <w:p w:rsidR="008A1A1B" w:rsidP="00D44D6B" w14:paraId="5219BD4B" w14:textId="42BD495D">
      <w:pPr>
        <w:numPr>
          <w:ilvl w:val="0"/>
          <w:numId w:val="8"/>
        </w:numPr>
        <w:spacing w:after="120"/>
        <w:ind w:hanging="357"/>
        <w:contextualSpacing/>
        <w:jc w:val="both"/>
      </w:pPr>
      <w:r>
        <w:t>P</w:t>
      </w:r>
      <w:r>
        <w:t>likter for THYF</w:t>
      </w:r>
    </w:p>
    <w:p w:rsidR="008A1A1B" w:rsidP="00D44D6B" w14:paraId="138BDFCC" w14:textId="230CB196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Aktivitetsplikt: Registrere og undersøke saken.</w:t>
      </w:r>
    </w:p>
    <w:p w:rsidR="00422277" w:rsidP="00D44D6B" w14:paraId="1987ED3B" w14:textId="1EA33C54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Omsorgsplikt: Sørge for et forsvarlig arbeidsmiljø (ansatt)/læringsmiljø (student) og forhindre gjengjeldelse.</w:t>
      </w:r>
    </w:p>
    <w:p w:rsidR="00422277" w:rsidP="00D44D6B" w14:paraId="09F09FF9" w14:textId="59F2E430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Følge prinsipper for god saksbehandling.</w:t>
      </w:r>
    </w:p>
    <w:p w:rsidR="00422277" w:rsidP="00D44D6B" w14:paraId="63010D64" w14:textId="77777777">
      <w:pPr>
        <w:numPr>
          <w:ilvl w:val="0"/>
          <w:numId w:val="8"/>
        </w:numPr>
        <w:spacing w:after="120"/>
        <w:ind w:hanging="357"/>
        <w:contextualSpacing/>
        <w:jc w:val="both"/>
      </w:pPr>
      <w:r>
        <w:t>Saksbehandlers plikter</w:t>
      </w:r>
    </w:p>
    <w:p w:rsidR="00422277" w:rsidP="00D44D6B" w14:paraId="7820508A" w14:textId="77777777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Varslers identitet eller saksopplysninger skal ikke være kjent for flere enn det som er nødvendig.</w:t>
      </w:r>
    </w:p>
    <w:p w:rsidR="00422277" w:rsidP="00D44D6B" w14:paraId="4B2E7EC2" w14:textId="77777777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Saksbehandler må være upartisk og uten egne interesser i saken.</w:t>
      </w:r>
    </w:p>
    <w:p w:rsidR="00422277" w:rsidP="00D44D6B" w14:paraId="037836C0" w14:textId="146941CA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Den det varsles om</w:t>
      </w:r>
      <w:r w:rsidR="00D44D6B">
        <w:t>, må få uttale seg og gi sin versjon av saken</w:t>
      </w:r>
      <w:r>
        <w:t xml:space="preserve">  </w:t>
      </w:r>
    </w:p>
    <w:p w:rsidR="00D44D6B" w:rsidP="00D44D6B" w14:paraId="1B9E6912" w14:textId="77777777">
      <w:pPr>
        <w:numPr>
          <w:ilvl w:val="0"/>
          <w:numId w:val="8"/>
        </w:numPr>
        <w:spacing w:after="120"/>
        <w:ind w:hanging="357"/>
        <w:contextualSpacing/>
        <w:jc w:val="both"/>
      </w:pPr>
      <w:r>
        <w:t>Varslet persons rettigheter</w:t>
      </w:r>
    </w:p>
    <w:p w:rsidR="00D44D6B" w:rsidP="00D44D6B" w14:paraId="35A0083E" w14:textId="7B1D13E2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Rett til å bli hørt.</w:t>
      </w:r>
    </w:p>
    <w:p w:rsidR="00D44D6B" w:rsidP="00D44D6B" w14:paraId="3DDFB3CE" w14:textId="40ADF14F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Rett til å gjøre seg kjent med beskyldningene rettet mot seg</w:t>
      </w:r>
    </w:p>
    <w:p w:rsidR="00D44D6B" w:rsidP="00D44D6B" w14:paraId="5276E15C" w14:textId="20408AF7">
      <w:pPr>
        <w:numPr>
          <w:ilvl w:val="0"/>
          <w:numId w:val="8"/>
        </w:numPr>
        <w:spacing w:after="120"/>
        <w:ind w:hanging="357"/>
        <w:contextualSpacing/>
        <w:jc w:val="both"/>
      </w:pPr>
      <w:r>
        <w:t>Varsler</w:t>
      </w:r>
    </w:p>
    <w:p w:rsidR="00D44D6B" w:rsidP="00D44D6B" w14:paraId="20B59D6D" w14:textId="563731F4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Er i</w:t>
      </w:r>
      <w:r>
        <w:t xml:space="preserve">kke part i saken og </w:t>
      </w:r>
      <w:r>
        <w:t xml:space="preserve">har </w:t>
      </w:r>
      <w:r>
        <w:t>dermed ikke rett til å få videre informasjon om saken.</w:t>
      </w:r>
    </w:p>
    <w:p w:rsidR="00D44D6B" w:rsidP="00D44D6B" w14:paraId="4F46709C" w14:textId="3F37D026">
      <w:pPr>
        <w:numPr>
          <w:ilvl w:val="1"/>
          <w:numId w:val="8"/>
        </w:numPr>
        <w:spacing w:after="120"/>
        <w:ind w:hanging="357"/>
        <w:contextualSpacing/>
        <w:jc w:val="both"/>
      </w:pPr>
      <w:r>
        <w:t>Få</w:t>
      </w:r>
      <w:r w:rsidR="001B0261">
        <w:t>r</w:t>
      </w:r>
      <w:r>
        <w:t xml:space="preserve"> tilbakemelding med en takk for varselet.</w:t>
      </w:r>
    </w:p>
    <w:p w:rsidR="000F5A8E" w:rsidP="00F75BD4" w14:paraId="339FA70E" w14:textId="77777777">
      <w:pPr>
        <w:spacing w:after="120"/>
        <w:ind w:left="426"/>
        <w:jc w:val="both"/>
      </w:pPr>
    </w:p>
    <w:p w:rsidR="00B86626" w:rsidRPr="009F7EB5" w:rsidP="00F75BD4" w14:paraId="1ED6C585" w14:textId="1BC82179">
      <w:pPr>
        <w:pStyle w:val="Heading1"/>
        <w:numPr>
          <w:ilvl w:val="0"/>
          <w:numId w:val="3"/>
        </w:numPr>
        <w:jc w:val="both"/>
      </w:pPr>
      <w:r w:rsidRPr="009F7EB5">
        <w:t>Referanser</w:t>
      </w:r>
    </w:p>
    <w:p w:rsidR="00A42B73" w:rsidP="00F75BD4" w14:paraId="67FECD11" w14:textId="77777777">
      <w:pPr>
        <w:spacing w:after="120"/>
        <w:ind w:left="426"/>
        <w:jc w:val="both"/>
      </w:pPr>
      <w:bookmarkStart w:id="4" w:name="_Hlk168299606"/>
      <w:r w:rsidRPr="00F9677E">
        <w:rPr>
          <w:i/>
          <w:iCs/>
        </w:rPr>
        <w:t>Kryssreferanser</w:t>
      </w:r>
      <w:r>
        <w:t xml:space="preserve"> henviser til dokumenter som finnes i THYFs ledelsessystem. </w:t>
      </w:r>
      <w:r w:rsidRPr="00F65CB0">
        <w:rPr>
          <w:i/>
          <w:iCs/>
        </w:rPr>
        <w:t>Eksterne referanser</w:t>
      </w:r>
      <w:r>
        <w:t xml:space="preserve"> henviser til dokumenter som ligger tilgjengelig utenfor ledelsessystemet.</w:t>
      </w:r>
    </w:p>
    <w:p w:rsidR="009F7EB5" w:rsidRPr="00CF0617" w:rsidP="00BE5CEF" w14:paraId="259E6A4C" w14:textId="16D342E3">
      <w:pPr>
        <w:spacing w:after="120"/>
        <w:ind w:left="426"/>
        <w:jc w:val="both"/>
        <w:rPr>
          <w:szCs w:val="18"/>
        </w:rPr>
      </w:pPr>
      <w:r>
        <w:t>Referanse</w:t>
      </w:r>
      <w:r w:rsidR="00F26C4C">
        <w:t>r</w:t>
      </w:r>
      <w:r>
        <w:t xml:space="preserve"> utgjør viktige systemforbindelser til relaterte dokumenter, skjema, prosessflytdiagram</w:t>
      </w:r>
      <w:r w:rsidR="00F26C4C">
        <w:t>, nettsteder,</w:t>
      </w:r>
      <w:r>
        <w:t xml:space="preserve"> eller annen relevant informasjon</w:t>
      </w:r>
      <w:r w:rsidR="00F26C4C">
        <w:t xml:space="preserve"> som for eksempel lover, forskrifter og standarder</w:t>
      </w:r>
      <w:r>
        <w:t>.</w:t>
      </w:r>
      <w:bookmarkEnd w:id="4"/>
    </w:p>
    <w:p w:rsidR="001C0FFA" w:rsidRPr="007D26B5" w:rsidP="000E1DDE" w14:paraId="02699B6D" w14:textId="77777777">
      <w:pPr>
        <w:pStyle w:val="Heading2"/>
        <w:numPr>
          <w:ilvl w:val="0"/>
          <w:numId w:val="6"/>
        </w:numPr>
        <w:ind w:left="851" w:hanging="491"/>
      </w:pPr>
      <w:r w:rsidRPr="007D26B5"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bookmarkStart w:id="5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1.3.1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Meldesystemer for avvik, hendelser, forbedringsforslag, klager og varsling av kritikkverdige forhold.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1.3.2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Melde forbedringsforslag, avvik, observasjoner og andre uønskede hendelser.</w:t>
              </w:r>
            </w:hyperlink>
          </w:p>
        </w:tc>
      </w:tr>
    </w:tbl>
    <w:p w:rsidR="00671862" w:rsidP="007D26B5" w14:paraId="3F009015" w14:textId="77777777">
      <w:pPr>
        <w:ind w:left="426"/>
        <w:rPr>
          <w:b/>
          <w:bCs/>
          <w:szCs w:val="18"/>
        </w:rPr>
      </w:pPr>
      <w:bookmarkEnd w:id="5"/>
    </w:p>
    <w:p w:rsidR="001C0FFA" w:rsidRPr="00CF0617" w:rsidP="000E1DDE" w14:paraId="02699B72" w14:textId="3BEAEFDC">
      <w:pPr>
        <w:pStyle w:val="Heading2"/>
        <w:numPr>
          <w:ilvl w:val="0"/>
          <w:numId w:val="6"/>
        </w:numPr>
        <w:ind w:left="851" w:hanging="491"/>
      </w:pPr>
      <w:r w:rsidRPr="00CF0617"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bookmarkStart w:id="6" w:name="EK_EksRef"/>
            <w:hyperlink r:id="rId8" w:history="1">
              <w:r>
                <w:rPr>
                  <w:b w:val="0"/>
                  <w:color w:val="0000FF"/>
                  <w:u w:val="single"/>
                </w:rPr>
                <w:t>2 DNV-ST-0029-MTP, Section 2 Management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2.1.9 Non-conformities, unintentional events and complaints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hyperlink r:id="rId9" w:anchor="search=varsling" w:history="1">
              <w:r>
                <w:rPr>
                  <w:b w:val="0"/>
                  <w:color w:val="0000FF"/>
                  <w:u w:val="single"/>
                </w:rPr>
                <w:t>15506 Rutine for varsling av kritikkverdige forhold i Trøndelag fylkeskommune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15.7 Hva er varsling etter arbeidsmiljøloven? Opplæringsfilmer.</w:t>
              </w:r>
            </w:hyperlink>
          </w:p>
        </w:tc>
      </w:tr>
    </w:tbl>
    <w:p w:rsidR="001C0FFA" w:rsidRPr="0038775B" w:rsidP="007D26B5" w14:paraId="02699B76" w14:textId="77777777">
      <w:pPr>
        <w:ind w:left="284"/>
        <w:rPr>
          <w:szCs w:val="18"/>
          <w:lang w:val="en-GB"/>
        </w:rPr>
      </w:pPr>
      <w:bookmarkEnd w:id="6"/>
    </w:p>
    <w:p w:rsidR="001C0FFA" w:rsidRPr="0038775B" w14:paraId="02699B77" w14:textId="1DEEDB98">
      <w:pPr>
        <w:rPr>
          <w:szCs w:val="18"/>
          <w:lang w:val="en-GB"/>
        </w:rPr>
      </w:pPr>
    </w:p>
    <w:sectPr>
      <w:headerReference w:type="defaul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3DBBEB10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Varsle om kritikkverdige forhold ved THYF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1.3.7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4C399C"/>
    <w:multiLevelType w:val="hybridMultilevel"/>
    <w:tmpl w:val="B85656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0FA"/>
    <w:multiLevelType w:val="hybridMultilevel"/>
    <w:tmpl w:val="0CAC921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D0119F"/>
    <w:multiLevelType w:val="hybridMultilevel"/>
    <w:tmpl w:val="A2924E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6D42"/>
    <w:multiLevelType w:val="hybridMultilevel"/>
    <w:tmpl w:val="73DC3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1EAD"/>
    <w:multiLevelType w:val="hybridMultilevel"/>
    <w:tmpl w:val="A9D0273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5827"/>
    <w:multiLevelType w:val="hybridMultilevel"/>
    <w:tmpl w:val="225C9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933C9"/>
    <w:multiLevelType w:val="hybridMultilevel"/>
    <w:tmpl w:val="2A40629C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F17C6"/>
    <w:multiLevelType w:val="hybridMultilevel"/>
    <w:tmpl w:val="72964438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40489323">
    <w:abstractNumId w:val="3"/>
  </w:num>
  <w:num w:numId="2" w16cid:durableId="1829782046">
    <w:abstractNumId w:val="4"/>
  </w:num>
  <w:num w:numId="3" w16cid:durableId="1572885599">
    <w:abstractNumId w:val="2"/>
  </w:num>
  <w:num w:numId="4" w16cid:durableId="393701951">
    <w:abstractNumId w:val="5"/>
  </w:num>
  <w:num w:numId="5" w16cid:durableId="1510482899">
    <w:abstractNumId w:val="0"/>
  </w:num>
  <w:num w:numId="6" w16cid:durableId="940457103">
    <w:abstractNumId w:val="6"/>
  </w:num>
  <w:num w:numId="7" w16cid:durableId="67004048">
    <w:abstractNumId w:val="7"/>
  </w:num>
  <w:num w:numId="8" w16cid:durableId="85203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2137"/>
    <w:rsid w:val="00062622"/>
    <w:rsid w:val="00064B5B"/>
    <w:rsid w:val="000E1DDE"/>
    <w:rsid w:val="000F3BF2"/>
    <w:rsid w:val="000F5A8E"/>
    <w:rsid w:val="001009AC"/>
    <w:rsid w:val="001A2ECE"/>
    <w:rsid w:val="001A500E"/>
    <w:rsid w:val="001B0261"/>
    <w:rsid w:val="001C0FFA"/>
    <w:rsid w:val="001E047B"/>
    <w:rsid w:val="002646B1"/>
    <w:rsid w:val="00280477"/>
    <w:rsid w:val="0038775B"/>
    <w:rsid w:val="003D4093"/>
    <w:rsid w:val="00415440"/>
    <w:rsid w:val="00422277"/>
    <w:rsid w:val="00446128"/>
    <w:rsid w:val="00454B66"/>
    <w:rsid w:val="00473133"/>
    <w:rsid w:val="004802CA"/>
    <w:rsid w:val="004A1508"/>
    <w:rsid w:val="004F400D"/>
    <w:rsid w:val="005037FB"/>
    <w:rsid w:val="005173F3"/>
    <w:rsid w:val="00560190"/>
    <w:rsid w:val="00593ADB"/>
    <w:rsid w:val="005D217C"/>
    <w:rsid w:val="005F7187"/>
    <w:rsid w:val="006458B4"/>
    <w:rsid w:val="00665A4D"/>
    <w:rsid w:val="00671862"/>
    <w:rsid w:val="006A2B83"/>
    <w:rsid w:val="006E64BA"/>
    <w:rsid w:val="0075102E"/>
    <w:rsid w:val="00761C10"/>
    <w:rsid w:val="00781062"/>
    <w:rsid w:val="00784455"/>
    <w:rsid w:val="007D26B5"/>
    <w:rsid w:val="00816FE3"/>
    <w:rsid w:val="0087577E"/>
    <w:rsid w:val="008A09F7"/>
    <w:rsid w:val="008A1A1B"/>
    <w:rsid w:val="00912FEC"/>
    <w:rsid w:val="0092133C"/>
    <w:rsid w:val="0095797D"/>
    <w:rsid w:val="009F7EB5"/>
    <w:rsid w:val="00A42B73"/>
    <w:rsid w:val="00A768B1"/>
    <w:rsid w:val="00A827C1"/>
    <w:rsid w:val="00A90694"/>
    <w:rsid w:val="00AA2479"/>
    <w:rsid w:val="00AA678B"/>
    <w:rsid w:val="00B34821"/>
    <w:rsid w:val="00B3769A"/>
    <w:rsid w:val="00B74E4F"/>
    <w:rsid w:val="00B84574"/>
    <w:rsid w:val="00B86626"/>
    <w:rsid w:val="00B926C6"/>
    <w:rsid w:val="00B95694"/>
    <w:rsid w:val="00BE5CEF"/>
    <w:rsid w:val="00BF75FB"/>
    <w:rsid w:val="00CC0A69"/>
    <w:rsid w:val="00CC173A"/>
    <w:rsid w:val="00CD32D9"/>
    <w:rsid w:val="00CD5A4D"/>
    <w:rsid w:val="00CF0617"/>
    <w:rsid w:val="00D11A96"/>
    <w:rsid w:val="00D23930"/>
    <w:rsid w:val="00D24256"/>
    <w:rsid w:val="00D44D6B"/>
    <w:rsid w:val="00D6432B"/>
    <w:rsid w:val="00D72127"/>
    <w:rsid w:val="00D83645"/>
    <w:rsid w:val="00DE6F6D"/>
    <w:rsid w:val="00E2325F"/>
    <w:rsid w:val="00E34F49"/>
    <w:rsid w:val="00E77926"/>
    <w:rsid w:val="00EE2BD6"/>
    <w:rsid w:val="00F11839"/>
    <w:rsid w:val="00F26C4C"/>
    <w:rsid w:val="00F65CB0"/>
    <w:rsid w:val="00F75BD4"/>
    <w:rsid w:val="00F9677E"/>
    <w:rsid w:val="00FA5C47"/>
    <w:rsid w:val="00FE648D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73133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0E1DDE"/>
    <w:pPr>
      <w:spacing w:before="36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D26B5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866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arbeidstilsynet.no/tema/varsling/filmer-om-varsling/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165.pdf" TargetMode="External" /><Relationship Id="rId6" Type="http://schemas.openxmlformats.org/officeDocument/2006/relationships/hyperlink" Target="https://thyf-ekstern.dkhosting.no/docs/pub/dok00293.htm" TargetMode="External" /><Relationship Id="rId7" Type="http://schemas.openxmlformats.org/officeDocument/2006/relationships/hyperlink" Target="https://thyf-ekstern.dkhosting.no/docs/pub/DOK00191.pdf" TargetMode="External" /><Relationship Id="rId8" Type="http://schemas.openxmlformats.org/officeDocument/2006/relationships/hyperlink" Target="https://standards.dnv.com/explorer/document/F63D7FA6C45F460DA09A0DBEFB1C4C1F/4" TargetMode="External" /><Relationship Id="rId9" Type="http://schemas.openxmlformats.org/officeDocument/2006/relationships/hyperlink" Target="https://tronder.sharepoint.com/sites/intranett/Styrendedok/Struktur for styrende dokumenter/Rutine for varsling av kritikkverdige forhold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690</TotalTime>
  <Pages>2</Pages>
  <Words>984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Varsle om kritikkverdige forhold ved THYF og TRFK</vt:lpstr>
      <vt:lpstr>	</vt:lpstr>
    </vt:vector>
  </TitlesOfParts>
  <Company>Datakvalitet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Varsle om kritikkverdige forhold ved THYF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27</cp:revision>
  <cp:lastPrinted>2024-04-29T13:04:00Z</cp:lastPrinted>
  <dcterms:created xsi:type="dcterms:W3CDTF">2020-01-20T07:07:00Z</dcterms:created>
  <dcterms:modified xsi:type="dcterms:W3CDTF">2024-06-03T18:23:00Z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r_doktype">
    <vt:lpwstr>[Dokumenttype]</vt:lpwstr>
  </property>
  <property fmtid="{D5CDD505-2E9C-101B-9397-08002B2CF9AE}" pid="3" name="EK_Bedriftsnavn">
    <vt:lpwstr>TRØNDELAG HØYERE YRKESFAGSKOLE avd. TRONDHEIM</vt:lpwstr>
  </property>
  <property fmtid="{D5CDD505-2E9C-101B-9397-08002B2CF9AE}" pid="4" name="EK_DokTittel">
    <vt:lpwstr>Varsle om kritikkverdige forhold ved THYF</vt:lpwstr>
  </property>
  <property fmtid="{D5CDD505-2E9C-101B-9397-08002B2CF9AE}" pid="5" name="EK_DokType">
    <vt:lpwstr>Prosedyre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03.06.2024</vt:lpwstr>
  </property>
  <property fmtid="{D5CDD505-2E9C-101B-9397-08002B2CF9AE}" pid="8" name="EK_GjelderTil">
    <vt:lpwstr>[]</vt:lpwstr>
  </property>
  <property fmtid="{D5CDD505-2E9C-101B-9397-08002B2CF9AE}" pid="9" name="EK_RefNr">
    <vt:lpwstr>1.3.7</vt:lpwstr>
  </property>
  <property fmtid="{D5CDD505-2E9C-101B-9397-08002B2CF9AE}" pid="10" name="EK_Signatur">
    <vt:lpwstr>Svein Ove Dyrdal</vt:lpwstr>
  </property>
  <property fmtid="{D5CDD505-2E9C-101B-9397-08002B2CF9AE}" pid="11" name="EK_SkrevetAv">
    <vt:lpwstr>Hans Tore Mikkelsen</vt:lpwstr>
  </property>
  <property fmtid="{D5CDD505-2E9C-101B-9397-08002B2CF9AE}" pid="12" name="EK_Utgave">
    <vt:lpwstr>1.00</vt:lpwstr>
  </property>
  <property fmtid="{D5CDD505-2E9C-101B-9397-08002B2CF9AE}" pid="13" name="EK_Watermark">
    <vt:lpwstr>[Vannmerke]</vt:lpwstr>
  </property>
  <property fmtid="{D5CDD505-2E9C-101B-9397-08002B2CF9AE}" pid="14" name="XD00165">
    <vt:lpwstr>1.2.3</vt:lpwstr>
  </property>
  <property fmtid="{D5CDD505-2E9C-101B-9397-08002B2CF9AE}" pid="15" name="XD00191">
    <vt:lpwstr>1.3.2</vt:lpwstr>
  </property>
  <property fmtid="{D5CDD505-2E9C-101B-9397-08002B2CF9AE}" pid="16" name="XD00293">
    <vt:lpwstr>1.3.1</vt:lpwstr>
  </property>
  <property fmtid="{D5CDD505-2E9C-101B-9397-08002B2CF9AE}" pid="17" name="XDF00165">
    <vt:lpwstr>Kapittel 2.1 Ledelsens ansvar</vt:lpwstr>
  </property>
  <property fmtid="{D5CDD505-2E9C-101B-9397-08002B2CF9AE}" pid="18" name="XDF00191">
    <vt:lpwstr>Melde forbedringsforslag, avvik, observasjoner og andre uønskede hendelser.</vt:lpwstr>
  </property>
  <property fmtid="{D5CDD505-2E9C-101B-9397-08002B2CF9AE}" pid="19" name="XDF00293">
    <vt:lpwstr>Meldesystemer for avvik, hendelser, forbedringsforslag, klager og varsling av kritikkverdige forhold.</vt:lpwstr>
  </property>
  <property fmtid="{D5CDD505-2E9C-101B-9397-08002B2CF9AE}" pid="20" name="XDL00165">
    <vt:lpwstr>1.2.3 Kapittel 2.1 Ledelsens ansvar</vt:lpwstr>
  </property>
  <property fmtid="{D5CDD505-2E9C-101B-9397-08002B2CF9AE}" pid="21" name="XDL00191">
    <vt:lpwstr>1.3.2 Melde forbedringsforslag, avvik, observasjoner og andre uønskede hendelser.</vt:lpwstr>
  </property>
  <property fmtid="{D5CDD505-2E9C-101B-9397-08002B2CF9AE}" pid="22" name="XDL00293">
    <vt:lpwstr>1.3.1 Meldesystemer for avvik, hendelser, forbedringsforslag, klager og varsling av kritikkverdige forhold.</vt:lpwstr>
  </property>
  <property fmtid="{D5CDD505-2E9C-101B-9397-08002B2CF9AE}" pid="23" name="XDT00165">
    <vt:lpwstr>Kapittel 2.1 Ledelsens ansvar</vt:lpwstr>
  </property>
  <property fmtid="{D5CDD505-2E9C-101B-9397-08002B2CF9AE}" pid="24" name="XDT00191">
    <vt:lpwstr>Melde forbedringsforslag, avvik, observasjoner og andre uønskede hendelser.</vt:lpwstr>
  </property>
  <property fmtid="{D5CDD505-2E9C-101B-9397-08002B2CF9AE}" pid="25" name="XDT00293">
    <vt:lpwstr>Meldesystemer for avvik, hendelser, forbedringsforslag, klager og varsling av kritikkverdige forhold.</vt:lpwstr>
  </property>
  <property fmtid="{D5CDD505-2E9C-101B-9397-08002B2CF9AE}" pid="26" name="XR00002">
    <vt:lpwstr>2</vt:lpwstr>
  </property>
  <property fmtid="{D5CDD505-2E9C-101B-9397-08002B2CF9AE}" pid="27" name="XR00076">
    <vt:lpwstr>2.1.9</vt:lpwstr>
  </property>
  <property fmtid="{D5CDD505-2E9C-101B-9397-08002B2CF9AE}" pid="28" name="XR00121">
    <vt:lpwstr>15506</vt:lpwstr>
  </property>
  <property fmtid="{D5CDD505-2E9C-101B-9397-08002B2CF9AE}" pid="29" name="XR00148">
    <vt:lpwstr>.22.3</vt:lpwstr>
  </property>
  <property fmtid="{D5CDD505-2E9C-101B-9397-08002B2CF9AE}" pid="30" name="XR00182">
    <vt:lpwstr>15.7</vt:lpwstr>
  </property>
  <property fmtid="{D5CDD505-2E9C-101B-9397-08002B2CF9AE}" pid="31" name="XRF00002">
    <vt:lpwstr>DNV-ST-0029-MTP, Section 2 Management</vt:lpwstr>
  </property>
  <property fmtid="{D5CDD505-2E9C-101B-9397-08002B2CF9AE}" pid="32" name="XRF00076">
    <vt:lpwstr>Non-conformities, unintentional events and complaints</vt:lpwstr>
  </property>
  <property fmtid="{D5CDD505-2E9C-101B-9397-08002B2CF9AE}" pid="33" name="XRF00121">
    <vt:lpwstr>Rutine for varsling av kritikkverdige forhold i Trøndelag fylkeskommune</vt:lpwstr>
  </property>
  <property fmtid="{D5CDD505-2E9C-101B-9397-08002B2CF9AE}" pid="34" name="XRF00148">
    <vt:lpwstr>DNV-ST-0029-MTP, Section 3 Management</vt:lpwstr>
  </property>
  <property fmtid="{D5CDD505-2E9C-101B-9397-08002B2CF9AE}" pid="35" name="XRF00182">
    <vt:lpwstr>Hva er varsling etter arbeidsmiljøloven? Opplæringsfilmer.</vt:lpwstr>
  </property>
  <property fmtid="{D5CDD505-2E9C-101B-9397-08002B2CF9AE}" pid="36" name="XRL00002">
    <vt:lpwstr>2 DNV-ST-0029-MTP, Section 2 Management</vt:lpwstr>
  </property>
  <property fmtid="{D5CDD505-2E9C-101B-9397-08002B2CF9AE}" pid="37" name="XRL00076">
    <vt:lpwstr>2.1.9 Non-conformities, unintentional events and complaints</vt:lpwstr>
  </property>
  <property fmtid="{D5CDD505-2E9C-101B-9397-08002B2CF9AE}" pid="38" name="XRL00121">
    <vt:lpwstr>15506 Rutine for varsling av kritikkverdige forhold i Trøndelag fylkeskommune</vt:lpwstr>
  </property>
  <property fmtid="{D5CDD505-2E9C-101B-9397-08002B2CF9AE}" pid="39" name="XRL00148">
    <vt:lpwstr>.22.3 DNV-ST-0029-MTP, Section 3 Management</vt:lpwstr>
  </property>
  <property fmtid="{D5CDD505-2E9C-101B-9397-08002B2CF9AE}" pid="40" name="XRL00182">
    <vt:lpwstr>15.7 Hva er varsling etter arbeidsmiljøloven? Opplæringsfilmer.</vt:lpwstr>
  </property>
  <property fmtid="{D5CDD505-2E9C-101B-9397-08002B2CF9AE}" pid="41" name="XRT00002">
    <vt:lpwstr>DNV-ST-0029-MTP, Section 2 Management</vt:lpwstr>
  </property>
  <property fmtid="{D5CDD505-2E9C-101B-9397-08002B2CF9AE}" pid="42" name="XRT00076">
    <vt:lpwstr>Non-conformities, unintentional events and complaints</vt:lpwstr>
  </property>
  <property fmtid="{D5CDD505-2E9C-101B-9397-08002B2CF9AE}" pid="43" name="XRT00121">
    <vt:lpwstr>Rutine for varsling av kritikkverdige forhold i Trøndelag fylkeskommune</vt:lpwstr>
  </property>
  <property fmtid="{D5CDD505-2E9C-101B-9397-08002B2CF9AE}" pid="44" name="XRT00148">
    <vt:lpwstr>DNV-ST-0029-MTP, Section 3 Management</vt:lpwstr>
  </property>
  <property fmtid="{D5CDD505-2E9C-101B-9397-08002B2CF9AE}" pid="45" name="XRT00182">
    <vt:lpwstr>Hva er varsling etter arbeidsmiljøloven? Opplæringsfilmer.</vt:lpwstr>
  </property>
</Properties>
</file>