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268"/>
        <w:gridCol w:w="2268"/>
      </w:tblGrid>
      <w:tr w14:paraId="02699B59" w14:textId="77777777" w:rsidTr="00752EA8">
        <w:tblPrEx>
          <w:tblW w:w="9214"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Height w:val="679"/>
        </w:trPr>
        <w:tc>
          <w:tcPr>
            <w:tcW w:w="6946" w:type="dxa"/>
            <w:gridSpan w:val="4"/>
            <w:tcBorders>
              <w:top w:val="single" w:sz="12" w:space="0" w:color="auto"/>
              <w:bottom w:val="single" w:sz="6" w:space="0" w:color="auto"/>
              <w:right w:val="single" w:sz="6" w:space="0" w:color="auto"/>
            </w:tcBorders>
          </w:tcPr>
          <w:p w:rsidR="001C0FFA" w:rsidRPr="00CF0617" w:rsidP="00F65CB0" w14:paraId="02699B57" w14:textId="349BBC64">
            <w:pPr>
              <w:spacing w:before="120" w:after="120"/>
              <w:rPr>
                <w:rFonts w:ascii="Oswald" w:hAnsi="Oswald"/>
                <w:b/>
                <w:sz w:val="28"/>
              </w:rPr>
            </w:pPr>
            <w:bookmarkStart w:id="0" w:name="_Hlk169606631"/>
            <w:r>
              <w:rPr>
                <w:b/>
                <w:sz w:val="28"/>
              </w:rPr>
              <w:t xml:space="preserve"> </w:t>
            </w: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28.2pt">
                  <v:imagedata r:id="rId5" o:title="Logo THYF" croptop="5730f"/>
                </v:shape>
              </w:pict>
            </w:r>
          </w:p>
        </w:tc>
        <w:tc>
          <w:tcPr>
            <w:tcW w:w="2268" w:type="dxa"/>
            <w:tcBorders>
              <w:top w:val="single" w:sz="12" w:space="0" w:color="auto"/>
              <w:left w:val="nil"/>
              <w:bottom w:val="single" w:sz="6" w:space="0" w:color="auto"/>
            </w:tcBorders>
          </w:tcPr>
          <w:p w:rsidR="001C0FFA" w:rsidRPr="00560190" w:rsidP="001A2ECE" w14:paraId="3D597C09" w14:textId="77777777">
            <w:pPr>
              <w:spacing w:before="120"/>
              <w:rPr>
                <w:sz w:val="20"/>
              </w:rPr>
            </w:pPr>
            <w:r w:rsidRPr="00560190">
              <w:rPr>
                <w:sz w:val="16"/>
              </w:rPr>
              <w:t>Dok.id.:</w:t>
            </w:r>
            <w:r w:rsidRPr="00CF0617">
              <w:rPr>
                <w:sz w:val="16"/>
              </w:rPr>
              <w:t xml:space="preserve"> </w:t>
            </w:r>
            <w:r w:rsidRPr="00560190">
              <w:rPr>
                <w:b/>
                <w:bCs/>
                <w:szCs w:val="18"/>
              </w:rPr>
              <w:fldChar w:fldCharType="begin" w:fldLock="1"/>
            </w:r>
            <w:r w:rsidRPr="00560190">
              <w:rPr>
                <w:b/>
                <w:bCs/>
                <w:szCs w:val="18"/>
              </w:rPr>
              <w:instrText xml:space="preserve"> DOCPROPERTY EK_RefNr </w:instrText>
            </w:r>
            <w:r w:rsidRPr="00560190">
              <w:rPr>
                <w:b/>
                <w:bCs/>
                <w:szCs w:val="18"/>
              </w:rPr>
              <w:fldChar w:fldCharType="separate"/>
            </w:r>
            <w:r w:rsidRPr="00560190">
              <w:rPr>
                <w:b/>
                <w:bCs/>
                <w:szCs w:val="18"/>
              </w:rPr>
              <w:t>3.7.17</w:t>
            </w:r>
            <w:r w:rsidRPr="00560190">
              <w:rPr>
                <w:b/>
                <w:bCs/>
                <w:szCs w:val="18"/>
              </w:rPr>
              <w:fldChar w:fldCharType="end"/>
            </w:r>
          </w:p>
          <w:p w:rsidR="00052137" w:rsidRPr="00CF0617" w:rsidP="00117A5C" w14:paraId="02699B58" w14:textId="6504F2F7">
            <w:pPr>
              <w:spacing w:before="120"/>
            </w:pPr>
            <w:r w:rsidRPr="00560190">
              <w:rPr>
                <w:sz w:val="16"/>
              </w:rPr>
              <w:t>Gyldig til:</w:t>
            </w:r>
            <w:r>
              <w:rPr>
                <w:sz w:val="16"/>
              </w:rPr>
              <w:t xml:space="preserve"> </w:t>
            </w:r>
          </w:p>
        </w:tc>
      </w:tr>
      <w:tr w14:paraId="02699B5C" w14:textId="77777777" w:rsidTr="00560190">
        <w:tblPrEx>
          <w:tblW w:w="9214" w:type="dxa"/>
          <w:tblInd w:w="71" w:type="dxa"/>
          <w:tblLayout w:type="fixed"/>
          <w:tblCellMar>
            <w:left w:w="71" w:type="dxa"/>
            <w:right w:w="71" w:type="dxa"/>
          </w:tblCellMar>
          <w:tblLook w:val="0000"/>
        </w:tblPrEx>
        <w:trPr>
          <w:cantSplit/>
        </w:trPr>
        <w:tc>
          <w:tcPr>
            <w:tcW w:w="6946" w:type="dxa"/>
            <w:gridSpan w:val="4"/>
            <w:tcBorders>
              <w:top w:val="single" w:sz="6" w:space="0" w:color="auto"/>
              <w:bottom w:val="single" w:sz="6" w:space="0" w:color="auto"/>
              <w:right w:val="single" w:sz="6" w:space="0" w:color="auto"/>
            </w:tcBorders>
          </w:tcPr>
          <w:p w:rsidR="001C0FFA" w:rsidRPr="001A2ECE" w14:paraId="02699B5A" w14:textId="77777777">
            <w:pPr>
              <w:spacing w:before="80" w:after="80"/>
              <w:rPr>
                <w:b/>
              </w:rPr>
            </w:pPr>
            <w:r w:rsidRPr="001A2ECE">
              <w:rPr>
                <w:b/>
                <w:sz w:val="22"/>
                <w:szCs w:val="24"/>
              </w:rPr>
              <w:fldChar w:fldCharType="begin" w:fldLock="1"/>
            </w:r>
            <w:r w:rsidRPr="001A2ECE">
              <w:rPr>
                <w:b/>
                <w:sz w:val="22"/>
                <w:szCs w:val="24"/>
              </w:rPr>
              <w:instrText xml:space="preserve"> DOCPROPERTY EK_DokTittel </w:instrText>
            </w:r>
            <w:r w:rsidRPr="001A2ECE">
              <w:rPr>
                <w:b/>
                <w:sz w:val="22"/>
                <w:szCs w:val="24"/>
              </w:rPr>
              <w:fldChar w:fldCharType="separate"/>
            </w:r>
            <w:r w:rsidRPr="001A2ECE">
              <w:rPr>
                <w:b/>
                <w:sz w:val="22"/>
                <w:szCs w:val="24"/>
              </w:rPr>
              <w:t>Skjema for utfylling av kvalitetsgrunnlag for akkreditering av utdanninger ved akkreditert fagområde</w:t>
            </w:r>
            <w:r w:rsidRPr="001A2ECE">
              <w:rPr>
                <w:b/>
                <w:sz w:val="22"/>
                <w:szCs w:val="24"/>
              </w:rPr>
              <w:fldChar w:fldCharType="end"/>
            </w:r>
            <w:bookmarkStart w:id="1" w:name="tempHer"/>
            <w:bookmarkEnd w:id="1"/>
          </w:p>
        </w:tc>
        <w:tc>
          <w:tcPr>
            <w:tcW w:w="2268" w:type="dxa"/>
            <w:tcBorders>
              <w:top w:val="single" w:sz="6" w:space="0" w:color="auto"/>
              <w:left w:val="nil"/>
              <w:bottom w:val="single" w:sz="6" w:space="0" w:color="auto"/>
            </w:tcBorders>
          </w:tcPr>
          <w:p w:rsidR="001A2ECE" w:rsidRPr="004A1508" w14:paraId="02699B5B" w14:textId="5970CC4A">
            <w:pPr>
              <w:spacing w:before="80" w:after="80"/>
              <w:rPr>
                <w:b/>
                <w:bCs/>
              </w:rPr>
            </w:pPr>
            <w:r w:rsidRPr="004A1508">
              <w:rPr>
                <w:b/>
                <w:bCs/>
              </w:rPr>
              <w:fldChar w:fldCharType="begin" w:fldLock="1"/>
            </w:r>
            <w:r w:rsidRPr="004A1508">
              <w:rPr>
                <w:b/>
                <w:bCs/>
              </w:rPr>
              <w:instrText xml:space="preserve">DOCPROPERTY </w:instrText>
            </w:r>
            <w:r w:rsidRPr="004A1508">
              <w:rPr>
                <w:b/>
                <w:bCs/>
              </w:rPr>
              <w:instrText>EK_DokType \*charformat \* MERGEFORMAT</w:instrText>
            </w:r>
            <w:r w:rsidRPr="004A1508">
              <w:rPr>
                <w:b/>
                <w:bCs/>
              </w:rPr>
              <w:fldChar w:fldCharType="separate"/>
            </w:r>
            <w:r w:rsidRPr="004A1508">
              <w:rPr>
                <w:b/>
                <w:bCs/>
                <w:noProof/>
              </w:rPr>
              <w:t>MTP</w:t>
            </w:r>
            <w:r w:rsidRPr="004A1508">
              <w:rPr>
                <w:b/>
                <w:bCs/>
              </w:rPr>
              <w:fldChar w:fldCharType="end"/>
            </w:r>
          </w:p>
        </w:tc>
      </w:tr>
      <w:tr w14:paraId="02699B67" w14:textId="77777777" w:rsidTr="00560190">
        <w:tblPrEx>
          <w:tblW w:w="9214" w:type="dxa"/>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rsidRPr="00560190" w14:paraId="02699B5D" w14:textId="77777777">
            <w:pPr>
              <w:rPr>
                <w:sz w:val="20"/>
              </w:rPr>
            </w:pPr>
            <w:r w:rsidRPr="00560190">
              <w:rPr>
                <w:sz w:val="16"/>
              </w:rPr>
              <w:t>Utgave:</w:t>
            </w:r>
          </w:p>
          <w:p w:rsidR="001C0FFA" w:rsidRPr="00560190" w14:paraId="02699B5E" w14:textId="77777777">
            <w:pPr>
              <w:jc w:val="center"/>
              <w:rPr>
                <w:sz w:val="20"/>
              </w:rPr>
            </w:pPr>
            <w:r w:rsidRPr="00560190">
              <w:rPr>
                <w:szCs w:val="18"/>
              </w:rPr>
              <w:fldChar w:fldCharType="begin" w:fldLock="1"/>
            </w:r>
            <w:r w:rsidRPr="00560190">
              <w:rPr>
                <w:szCs w:val="18"/>
              </w:rPr>
              <w:instrText xml:space="preserve"> DOCPROPERTY EK_Utgave </w:instrText>
            </w:r>
            <w:r w:rsidRPr="00560190">
              <w:rPr>
                <w:szCs w:val="18"/>
              </w:rPr>
              <w:fldChar w:fldCharType="separate"/>
            </w:r>
            <w:r w:rsidRPr="00560190">
              <w:rPr>
                <w:szCs w:val="18"/>
              </w:rPr>
              <w:t>0.09</w:t>
            </w:r>
            <w:r w:rsidRPr="00560190">
              <w:rPr>
                <w:szCs w:val="18"/>
              </w:rPr>
              <w:fldChar w:fldCharType="end"/>
            </w:r>
          </w:p>
        </w:tc>
        <w:tc>
          <w:tcPr>
            <w:tcW w:w="2268" w:type="dxa"/>
            <w:tcBorders>
              <w:top w:val="nil"/>
              <w:left w:val="single" w:sz="6" w:space="0" w:color="auto"/>
              <w:bottom w:val="single" w:sz="12" w:space="0" w:color="auto"/>
              <w:right w:val="nil"/>
            </w:tcBorders>
          </w:tcPr>
          <w:p w:rsidR="001C0FFA" w:rsidRPr="00560190" w14:paraId="02699B5F" w14:textId="77777777">
            <w:pPr>
              <w:rPr>
                <w:sz w:val="20"/>
              </w:rPr>
            </w:pPr>
            <w:r w:rsidRPr="00560190">
              <w:rPr>
                <w:sz w:val="16"/>
              </w:rPr>
              <w:t>Skrevet av:</w:t>
            </w:r>
          </w:p>
          <w:p w:rsidR="001C0FFA" w:rsidRPr="00560190" w14:paraId="02699B60" w14:textId="77777777">
            <w:pPr>
              <w:jc w:val="center"/>
              <w:rPr>
                <w:sz w:val="20"/>
              </w:rPr>
            </w:pPr>
            <w:r w:rsidRPr="00560190">
              <w:rPr>
                <w:szCs w:val="18"/>
              </w:rPr>
              <w:fldChar w:fldCharType="begin" w:fldLock="1"/>
            </w:r>
            <w:r w:rsidRPr="00560190">
              <w:rPr>
                <w:szCs w:val="18"/>
              </w:rPr>
              <w:instrText xml:space="preserve"> DOCPROPERTY EK_SkrevetAv </w:instrText>
            </w:r>
            <w:r w:rsidRPr="00560190">
              <w:rPr>
                <w:szCs w:val="18"/>
              </w:rPr>
              <w:fldChar w:fldCharType="separate"/>
            </w:r>
            <w:r w:rsidRPr="00560190">
              <w:rPr>
                <w:szCs w:val="18"/>
              </w:rPr>
              <w:t>Hans Tore Mikkelsen</w:t>
            </w:r>
            <w:r w:rsidRPr="00560190">
              <w:rPr>
                <w:szCs w:val="18"/>
              </w:rPr>
              <w:fldChar w:fldCharType="end"/>
            </w:r>
          </w:p>
        </w:tc>
        <w:tc>
          <w:tcPr>
            <w:tcW w:w="1417" w:type="dxa"/>
            <w:tcBorders>
              <w:top w:val="nil"/>
              <w:left w:val="single" w:sz="6" w:space="0" w:color="auto"/>
              <w:bottom w:val="single" w:sz="12" w:space="0" w:color="auto"/>
              <w:right w:val="nil"/>
            </w:tcBorders>
          </w:tcPr>
          <w:p w:rsidR="001C0FFA" w:rsidRPr="00560190" w14:paraId="02699B61" w14:textId="03268A66">
            <w:pPr>
              <w:rPr>
                <w:sz w:val="16"/>
              </w:rPr>
            </w:pPr>
            <w:r w:rsidRPr="00560190">
              <w:rPr>
                <w:sz w:val="16"/>
              </w:rPr>
              <w:t>Gjelder fra</w:t>
            </w:r>
            <w:r>
              <w:rPr>
                <w:sz w:val="16"/>
              </w:rPr>
              <w:t>/til</w:t>
            </w:r>
            <w:r w:rsidRPr="00560190">
              <w:rPr>
                <w:sz w:val="16"/>
              </w:rPr>
              <w:t>:</w:t>
            </w:r>
          </w:p>
          <w:p w:rsidR="001C0FFA" w:rsidRPr="00560190" w14:paraId="02699B62" w14:textId="692C971D">
            <w:pPr>
              <w:jc w:val="center"/>
              <w:rPr>
                <w:szCs w:val="18"/>
              </w:rPr>
            </w:pPr>
          </w:p>
        </w:tc>
        <w:tc>
          <w:tcPr>
            <w:tcW w:w="2268" w:type="dxa"/>
            <w:tcBorders>
              <w:top w:val="nil"/>
              <w:left w:val="single" w:sz="6" w:space="0" w:color="auto"/>
              <w:bottom w:val="single" w:sz="12" w:space="0" w:color="auto"/>
              <w:right w:val="nil"/>
            </w:tcBorders>
          </w:tcPr>
          <w:p w:rsidR="001C0FFA" w:rsidRPr="00560190" w14:paraId="02699B63" w14:textId="77777777">
            <w:pPr>
              <w:rPr>
                <w:sz w:val="20"/>
              </w:rPr>
            </w:pPr>
            <w:r w:rsidRPr="00560190">
              <w:rPr>
                <w:sz w:val="16"/>
              </w:rPr>
              <w:t>Godkjent av:</w:t>
            </w:r>
          </w:p>
          <w:p w:rsidR="001C0FFA" w:rsidRPr="00560190" w14:paraId="02699B64" w14:textId="09E9CB65">
            <w:pPr>
              <w:jc w:val="center"/>
              <w:rPr>
                <w:szCs w:val="18"/>
              </w:rPr>
            </w:pPr>
          </w:p>
        </w:tc>
        <w:tc>
          <w:tcPr>
            <w:tcW w:w="2268" w:type="dxa"/>
            <w:tcBorders>
              <w:top w:val="nil"/>
              <w:left w:val="single" w:sz="6" w:space="0" w:color="auto"/>
              <w:bottom w:val="single" w:sz="12" w:space="0" w:color="auto"/>
            </w:tcBorders>
          </w:tcPr>
          <w:p w:rsidR="001C0FFA" w:rsidRPr="00560190" w14:paraId="02699B65" w14:textId="77777777">
            <w:pPr>
              <w:rPr>
                <w:sz w:val="20"/>
              </w:rPr>
            </w:pPr>
            <w:r w:rsidRPr="00560190">
              <w:rPr>
                <w:sz w:val="16"/>
              </w:rPr>
              <w:t>Sidenr:</w:t>
            </w:r>
          </w:p>
          <w:p w:rsidR="001C0FFA" w:rsidRPr="00560190" w14:paraId="02699B66" w14:textId="4A7528B8">
            <w:pPr>
              <w:jc w:val="center"/>
              <w:rPr>
                <w:szCs w:val="18"/>
              </w:rPr>
            </w:pPr>
            <w:r w:rsidRPr="00560190">
              <w:rPr>
                <w:szCs w:val="18"/>
              </w:rPr>
              <w:fldChar w:fldCharType="begin"/>
            </w:r>
            <w:r w:rsidRPr="00560190">
              <w:rPr>
                <w:szCs w:val="18"/>
              </w:rPr>
              <w:instrText xml:space="preserve">PAGE </w:instrText>
            </w:r>
            <w:r w:rsidRPr="00560190">
              <w:rPr>
                <w:szCs w:val="18"/>
              </w:rPr>
              <w:fldChar w:fldCharType="separate"/>
            </w:r>
            <w:r w:rsidRPr="00560190">
              <w:rPr>
                <w:szCs w:val="18"/>
              </w:rPr>
              <w:t>1</w:t>
            </w:r>
            <w:r w:rsidRPr="00560190">
              <w:rPr>
                <w:szCs w:val="18"/>
              </w:rPr>
              <w:fldChar w:fldCharType="end"/>
            </w:r>
            <w:r w:rsidRPr="00560190">
              <w:rPr>
                <w:szCs w:val="18"/>
              </w:rPr>
              <w:t xml:space="preserve"> av </w:t>
            </w:r>
            <w:r w:rsidRPr="00560190">
              <w:rPr>
                <w:szCs w:val="18"/>
              </w:rPr>
              <w:fldChar w:fldCharType="begin"/>
            </w:r>
            <w:r w:rsidRPr="00560190">
              <w:rPr>
                <w:szCs w:val="18"/>
              </w:rPr>
              <w:instrText>NUMPAGES</w:instrText>
            </w:r>
            <w:r w:rsidRPr="00560190">
              <w:rPr>
                <w:szCs w:val="18"/>
              </w:rPr>
              <w:fldChar w:fldCharType="separate"/>
            </w:r>
            <w:r w:rsidRPr="00560190">
              <w:rPr>
                <w:szCs w:val="18"/>
              </w:rPr>
              <w:t>4</w:t>
            </w:r>
            <w:r w:rsidRPr="00560190">
              <w:rPr>
                <w:szCs w:val="18"/>
              </w:rPr>
              <w:fldChar w:fldCharType="end"/>
            </w:r>
          </w:p>
        </w:tc>
      </w:tr>
    </w:tbl>
    <w:bookmarkEnd w:id="0"/>
    <w:p w:rsidR="00A90694" w:rsidRPr="00A90694" w:rsidP="00267DAC" w14:paraId="5A214358" w14:textId="1D1C67FC">
      <w:pPr>
        <w:pStyle w:val="Heading1"/>
        <w:spacing w:after="120" w:line="276" w:lineRule="auto"/>
        <w:jc w:val="both"/>
      </w:pPr>
      <w:r>
        <w:t xml:space="preserve">Kvalitetsgrunnlag ved utvikling av nye utdanninger og vesentlige endringer av </w:t>
      </w:r>
      <w:r w:rsidR="005877CE">
        <w:t xml:space="preserve">eksisterende </w:t>
      </w:r>
      <w:r>
        <w:t>utdanning</w:t>
      </w:r>
    </w:p>
    <w:p w:rsidR="00B86626" w:rsidP="00267DAC" w14:paraId="2FE04433" w14:textId="49460B36">
      <w:pPr>
        <w:spacing w:after="120" w:line="276" w:lineRule="auto"/>
        <w:jc w:val="both"/>
      </w:pPr>
      <w:r>
        <w:t xml:space="preserve">Dokument </w:t>
      </w:r>
      <w:hyperlink r:id="rId6" w:tooltip="XDF00289" w:history="1">
        <w:r w:rsidRPr="006D3269">
          <w:rPr>
            <w:rStyle w:val="Hyperlink"/>
          </w:rPr>
          <w:fldChar w:fldCharType="begin" w:fldLock="1"/>
        </w:r>
        <w:r w:rsidRPr="006D3269">
          <w:rPr>
            <w:rStyle w:val="Hyperlink"/>
          </w:rPr>
          <w:instrText xml:space="preserve"> DOCPROPERTY XDL00289 *charformat * MERGEFORMAT </w:instrText>
        </w:r>
        <w:r w:rsidRPr="006D3269">
          <w:rPr>
            <w:rStyle w:val="Hyperlink"/>
          </w:rPr>
          <w:fldChar w:fldCharType="separate"/>
        </w:r>
        <w:r w:rsidRPr="006D3269">
          <w:rPr>
            <w:rStyle w:val="Hyperlink"/>
          </w:rPr>
          <w:t xml:space="preserve">3.7.16 Prosessbeskrivelse  for nye utdanninger og vesentlige endringer ved akkrediterte fagområder  </w:t>
        </w:r>
        <w:r w:rsidRPr="006D3269">
          <w:rPr>
            <w:rStyle w:val="Hyperlink"/>
          </w:rPr>
          <w:fldChar w:fldCharType="end"/>
        </w:r>
      </w:hyperlink>
      <w:r w:rsidRPr="006D3269">
        <w:t xml:space="preserve"> </w:t>
      </w:r>
      <w:r w:rsidR="00267DAC">
        <w:t xml:space="preserve">beskriver hvordan nye utdanninger samt vesentlige endringer av eksisterende utdanninger skal håndteres </w:t>
      </w:r>
      <w:r>
        <w:t>ved Trøndelag høyere yrkesfagskole (THYF)</w:t>
      </w:r>
      <w:r w:rsidR="00267DAC">
        <w:t>.</w:t>
      </w:r>
    </w:p>
    <w:p w:rsidR="00267DAC" w:rsidP="00267DAC" w14:paraId="3ABF3A1B" w14:textId="04F4D534">
      <w:pPr>
        <w:spacing w:after="120" w:line="276" w:lineRule="auto"/>
        <w:jc w:val="both"/>
      </w:pPr>
      <w:r>
        <w:t xml:space="preserve">Kvalitetskriterier for prosessen er </w:t>
      </w:r>
      <w:r w:rsidR="005877CE">
        <w:t>sammenstilt med utgangspunkt i</w:t>
      </w:r>
      <w:r>
        <w:t xml:space="preserve"> fagskoleloven, fagskoleforskriften og fagskoletilsynsforskriften, og knyttet til hvert enkelt rapporteringspunkt.</w:t>
      </w:r>
    </w:p>
    <w:p w:rsidR="00232EFB" w:rsidP="00267DAC" w14:paraId="0C06D2D4" w14:textId="77777777">
      <w:pPr>
        <w:spacing w:after="120" w:line="276" w:lineRule="auto"/>
        <w:jc w:val="both"/>
      </w:pPr>
    </w:p>
    <w:p w:rsidR="00267DAC" w:rsidP="00267DAC" w14:paraId="1013E771" w14:textId="7CD2B467">
      <w:pPr>
        <w:spacing w:after="120" w:line="276" w:lineRule="auto"/>
        <w:jc w:val="both"/>
      </w:pPr>
      <w:r>
        <w:t>Rapporten fra arbeidsgruppen omfatter følgende utdanning, deltakere og dato for rapport.</w:t>
      </w:r>
    </w:p>
    <w:tbl>
      <w:tblPr>
        <w:tblStyle w:val="TableGrid"/>
        <w:tblW w:w="0" w:type="auto"/>
        <w:tblInd w:w="108" w:type="dxa"/>
        <w:tblBorders>
          <w:insideH w:val="none" w:sz="0" w:space="0" w:color="auto"/>
        </w:tblBorders>
        <w:tblLook w:val="04A0"/>
      </w:tblPr>
      <w:tblGrid>
        <w:gridCol w:w="851"/>
        <w:gridCol w:w="8252"/>
      </w:tblGrid>
      <w:tr w14:paraId="484870B1" w14:textId="77777777" w:rsidTr="00232EFB">
        <w:tblPrEx>
          <w:tblW w:w="0" w:type="auto"/>
          <w:tblInd w:w="108" w:type="dxa"/>
          <w:tblBorders>
            <w:insideH w:val="none" w:sz="0" w:space="0" w:color="auto"/>
          </w:tblBorders>
          <w:tblLook w:val="04A0"/>
        </w:tblPrEx>
        <w:tc>
          <w:tcPr>
            <w:tcW w:w="9103" w:type="dxa"/>
            <w:gridSpan w:val="2"/>
          </w:tcPr>
          <w:p w:rsidR="00267DAC" w:rsidRPr="00267DAC" w:rsidP="00267DAC" w14:paraId="43A5BCCA" w14:textId="6C025AFC">
            <w:pPr>
              <w:spacing w:line="276" w:lineRule="auto"/>
              <w:jc w:val="both"/>
              <w:rPr>
                <w:b/>
                <w:bCs/>
              </w:rPr>
            </w:pPr>
            <w:bookmarkStart w:id="2" w:name="_Hlk169521988"/>
            <w:r w:rsidRPr="00267DAC">
              <w:rPr>
                <w:b/>
                <w:bCs/>
                <w:sz w:val="16"/>
                <w:szCs w:val="18"/>
              </w:rPr>
              <w:t>Utdanningens navn:</w:t>
            </w:r>
          </w:p>
        </w:tc>
      </w:tr>
      <w:tr w14:paraId="1C7503A6" w14:textId="77777777" w:rsidTr="00232EFB">
        <w:tblPrEx>
          <w:tblW w:w="0" w:type="auto"/>
          <w:tblInd w:w="108" w:type="dxa"/>
          <w:tblLook w:val="04A0"/>
        </w:tblPrEx>
        <w:tc>
          <w:tcPr>
            <w:tcW w:w="9103" w:type="dxa"/>
            <w:gridSpan w:val="2"/>
          </w:tcPr>
          <w:p w:rsidR="00267DAC" w:rsidRPr="005877CE" w:rsidP="00267DAC" w14:paraId="31ACA867" w14:textId="1AA3059F">
            <w:pPr>
              <w:spacing w:after="120" w:line="276" w:lineRule="auto"/>
              <w:jc w:val="both"/>
              <w:rPr>
                <w:i/>
                <w:iCs/>
              </w:rPr>
            </w:pPr>
          </w:p>
          <w:p w:rsidR="00267DAC" w:rsidRPr="005877CE" w:rsidP="00267DAC" w14:paraId="1E1811F1" w14:textId="77777777">
            <w:pPr>
              <w:spacing w:after="120" w:line="276" w:lineRule="auto"/>
              <w:jc w:val="both"/>
              <w:rPr>
                <w:i/>
                <w:iCs/>
              </w:rPr>
            </w:pPr>
          </w:p>
        </w:tc>
      </w:tr>
      <w:bookmarkEnd w:id="2"/>
      <w:tr w14:paraId="0615312C" w14:textId="77777777" w:rsidTr="00232EFB">
        <w:tblPrEx>
          <w:tblW w:w="0" w:type="auto"/>
          <w:tblInd w:w="108" w:type="dxa"/>
          <w:tblLook w:val="04A0"/>
        </w:tblPrEx>
        <w:tc>
          <w:tcPr>
            <w:tcW w:w="9103" w:type="dxa"/>
            <w:gridSpan w:val="2"/>
          </w:tcPr>
          <w:p w:rsidR="00267DAC" w:rsidP="00267DAC" w14:paraId="5019BA84" w14:textId="6170133E">
            <w:pPr>
              <w:spacing w:line="276" w:lineRule="auto"/>
              <w:jc w:val="both"/>
            </w:pPr>
            <w:r>
              <w:rPr>
                <w:b/>
                <w:bCs/>
                <w:sz w:val="16"/>
                <w:szCs w:val="18"/>
              </w:rPr>
              <w:t>Navn på deltakere i arbeidsgruppe</w:t>
            </w:r>
            <w:r w:rsidRPr="00267DAC">
              <w:rPr>
                <w:b/>
                <w:bCs/>
                <w:sz w:val="16"/>
                <w:szCs w:val="18"/>
              </w:rPr>
              <w:t>:</w:t>
            </w:r>
          </w:p>
        </w:tc>
      </w:tr>
      <w:tr w14:paraId="4B8B9C16" w14:textId="77777777" w:rsidTr="00232EFB">
        <w:tblPrEx>
          <w:tblW w:w="0" w:type="auto"/>
          <w:tblInd w:w="108" w:type="dxa"/>
          <w:tblLook w:val="04A0"/>
        </w:tblPrEx>
        <w:tc>
          <w:tcPr>
            <w:tcW w:w="9103" w:type="dxa"/>
            <w:gridSpan w:val="2"/>
            <w:tcBorders>
              <w:bottom w:val="nil"/>
            </w:tcBorders>
          </w:tcPr>
          <w:p w:rsidR="00267DAC" w:rsidRPr="005877CE" w:rsidP="00267DAC" w14:paraId="0EF2FB65" w14:textId="7B1B5384">
            <w:pPr>
              <w:spacing w:after="120" w:line="276" w:lineRule="auto"/>
              <w:jc w:val="both"/>
              <w:rPr>
                <w:i/>
                <w:iCs/>
              </w:rPr>
            </w:pPr>
          </w:p>
          <w:p w:rsidR="00267DAC" w:rsidRPr="005877CE" w:rsidP="00267DAC" w14:paraId="760C28F1" w14:textId="77777777">
            <w:pPr>
              <w:spacing w:line="276" w:lineRule="auto"/>
              <w:jc w:val="both"/>
              <w:rPr>
                <w:i/>
                <w:iCs/>
              </w:rPr>
            </w:pPr>
          </w:p>
        </w:tc>
      </w:tr>
      <w:tr w14:paraId="1E629242" w14:textId="77777777" w:rsidTr="00232EFB">
        <w:tblPrEx>
          <w:tblW w:w="0" w:type="auto"/>
          <w:tblInd w:w="108" w:type="dxa"/>
          <w:tblLook w:val="04A0"/>
        </w:tblPrEx>
        <w:tc>
          <w:tcPr>
            <w:tcW w:w="851" w:type="dxa"/>
            <w:tcBorders>
              <w:top w:val="nil"/>
              <w:bottom w:val="single" w:sz="4" w:space="0" w:color="auto"/>
              <w:right w:val="nil"/>
            </w:tcBorders>
          </w:tcPr>
          <w:p w:rsidR="00232EFB" w:rsidP="00232EFB" w14:paraId="1673F22A" w14:textId="4BA3B729">
            <w:pPr>
              <w:spacing w:line="276" w:lineRule="auto"/>
              <w:jc w:val="both"/>
            </w:pPr>
            <w:r>
              <w:rPr>
                <w:b/>
                <w:bCs/>
                <w:sz w:val="16"/>
                <w:szCs w:val="18"/>
              </w:rPr>
              <w:t>Dato</w:t>
            </w:r>
            <w:r w:rsidRPr="00267DAC">
              <w:rPr>
                <w:b/>
                <w:bCs/>
                <w:sz w:val="16"/>
                <w:szCs w:val="18"/>
              </w:rPr>
              <w:t>:</w:t>
            </w:r>
          </w:p>
        </w:tc>
        <w:tc>
          <w:tcPr>
            <w:tcW w:w="8252" w:type="dxa"/>
            <w:tcBorders>
              <w:top w:val="nil"/>
              <w:left w:val="nil"/>
              <w:bottom w:val="single" w:sz="4" w:space="0" w:color="auto"/>
            </w:tcBorders>
          </w:tcPr>
          <w:p w:rsidR="00232EFB" w:rsidRPr="005877CE" w:rsidP="00232EFB" w14:paraId="45EFDF9E" w14:textId="1966C3D8">
            <w:pPr>
              <w:spacing w:after="120" w:line="276" w:lineRule="auto"/>
              <w:jc w:val="both"/>
              <w:rPr>
                <w:i/>
                <w:iCs/>
              </w:rPr>
            </w:pPr>
          </w:p>
        </w:tc>
      </w:tr>
    </w:tbl>
    <w:p w:rsidR="00267DAC" w:rsidP="00267DAC" w14:paraId="04E8880C" w14:textId="77777777">
      <w:pPr>
        <w:spacing w:after="120" w:line="276" w:lineRule="auto"/>
        <w:jc w:val="both"/>
      </w:pPr>
    </w:p>
    <w:p w:rsidR="00B86626" w:rsidRPr="009F7EB5" w:rsidP="00232EFB" w14:paraId="3A2F7B45" w14:textId="795EE03D">
      <w:pPr>
        <w:pStyle w:val="Heading1"/>
        <w:numPr>
          <w:ilvl w:val="0"/>
          <w:numId w:val="3"/>
        </w:numPr>
        <w:spacing w:after="120" w:line="276" w:lineRule="auto"/>
        <w:ind w:left="284"/>
        <w:jc w:val="both"/>
      </w:pPr>
      <w:r>
        <w:t>Krav til studieplan</w:t>
      </w:r>
    </w:p>
    <w:p w:rsidR="008820A9" w:rsidP="00232EFB" w14:paraId="68F56B6A" w14:textId="5B4F5B66">
      <w:pPr>
        <w:spacing w:after="120" w:line="276" w:lineRule="auto"/>
        <w:jc w:val="both"/>
      </w:pPr>
      <w:r>
        <w:t>Studieplanen skal oppfylle følgende kriterier for kvalitet:</w:t>
      </w:r>
    </w:p>
    <w:p w:rsidR="008820A9" w:rsidP="00232EFB" w14:paraId="0722DA41" w14:textId="77777777">
      <w:pPr>
        <w:spacing w:after="120" w:line="276" w:lineRule="auto"/>
        <w:ind w:left="426"/>
        <w:jc w:val="both"/>
      </w:pPr>
    </w:p>
    <w:p w:rsidR="008820A9" w:rsidRPr="008820A9" w:rsidP="005877CE" w14:paraId="405B3167" w14:textId="36E4579B">
      <w:pPr>
        <w:numPr>
          <w:ilvl w:val="1"/>
          <w:numId w:val="8"/>
        </w:numPr>
        <w:spacing w:after="120" w:line="276" w:lineRule="auto"/>
        <w:ind w:left="426"/>
        <w:jc w:val="both"/>
        <w:rPr>
          <w:b/>
          <w:bCs/>
        </w:rPr>
      </w:pPr>
      <w:r w:rsidRPr="008820A9">
        <w:rPr>
          <w:b/>
          <w:bCs/>
        </w:rPr>
        <w:t>Utdanningens navn</w:t>
      </w:r>
      <w:r w:rsidRPr="008820A9">
        <w:t xml:space="preserve"> (</w:t>
      </w:r>
      <w:r>
        <w:t xml:space="preserve">jfr. </w:t>
      </w:r>
      <w:r w:rsidRPr="008820A9">
        <w:t>fagskoletilsynsforskriften § 2</w:t>
      </w:r>
      <w:r>
        <w:t>-</w:t>
      </w:r>
      <w:r w:rsidRPr="008820A9">
        <w:t>1a)</w:t>
      </w:r>
    </w:p>
    <w:p w:rsidR="005443EB" w:rsidP="00232EFB" w14:paraId="30CB2835" w14:textId="61355840">
      <w:pPr>
        <w:spacing w:after="120" w:line="276" w:lineRule="auto"/>
        <w:jc w:val="both"/>
      </w:pPr>
      <w:r>
        <w:t>Utdanningen skal ha et dekkende navn. Navnet skal vise hvilken kompetanse studentene har etter fullført utdanning samt være beskrivende for studenter, arbeidslivet og samfunnet.</w:t>
      </w:r>
    </w:p>
    <w:p w:rsidR="008820A9" w:rsidP="00232EFB" w14:paraId="23678755" w14:textId="775F0309">
      <w:pPr>
        <w:spacing w:after="120" w:line="276" w:lineRule="auto"/>
        <w:jc w:val="both"/>
      </w:pPr>
      <w:r>
        <w:t>Navnet skal i tillegg være dekkende for utdanningens overordnede læringsutbytte samt være presist nok til å skille utdanningen fra nærliggende utdanninger på fagskolenivå</w:t>
      </w:r>
      <w:r w:rsidR="00DC231E">
        <w:t xml:space="preserve"> eller andre nivå innenfor norsk kvalifikasjonsrammeverk, NKR</w:t>
      </w:r>
      <w:r>
        <w:t>.</w:t>
      </w:r>
    </w:p>
    <w:tbl>
      <w:tblPr>
        <w:tblStyle w:val="TableGrid"/>
        <w:tblW w:w="0" w:type="auto"/>
        <w:tblInd w:w="108" w:type="dxa"/>
        <w:tblBorders>
          <w:insideH w:val="none" w:sz="0" w:space="0" w:color="auto"/>
        </w:tblBorders>
        <w:tblLook w:val="04A0"/>
      </w:tblPr>
      <w:tblGrid>
        <w:gridCol w:w="9103"/>
      </w:tblGrid>
      <w:tr w14:paraId="26AF1113" w14:textId="77777777" w:rsidTr="009241D9">
        <w:tblPrEx>
          <w:tblW w:w="0" w:type="auto"/>
          <w:tblInd w:w="108" w:type="dxa"/>
          <w:tblBorders>
            <w:insideH w:val="none" w:sz="0" w:space="0" w:color="auto"/>
          </w:tblBorders>
          <w:tblLook w:val="04A0"/>
        </w:tblPrEx>
        <w:tc>
          <w:tcPr>
            <w:tcW w:w="9103" w:type="dxa"/>
          </w:tcPr>
          <w:p w:rsidR="00DC231E" w:rsidRPr="00267DAC" w:rsidP="009241D9" w14:paraId="54CBBA18" w14:textId="43428096">
            <w:pPr>
              <w:spacing w:line="276" w:lineRule="auto"/>
              <w:jc w:val="both"/>
              <w:rPr>
                <w:b/>
                <w:bCs/>
              </w:rPr>
            </w:pPr>
            <w:r>
              <w:rPr>
                <w:b/>
                <w:bCs/>
                <w:sz w:val="16"/>
                <w:szCs w:val="18"/>
              </w:rPr>
              <w:t>Arbeidsgruppens begrunnelse for valg av navn på u</w:t>
            </w:r>
            <w:r w:rsidRPr="00267DAC">
              <w:rPr>
                <w:b/>
                <w:bCs/>
                <w:sz w:val="16"/>
                <w:szCs w:val="18"/>
              </w:rPr>
              <w:t>tdanningen:</w:t>
            </w:r>
          </w:p>
        </w:tc>
      </w:tr>
      <w:tr w14:paraId="6FCD5C41" w14:textId="77777777" w:rsidTr="009241D9">
        <w:tblPrEx>
          <w:tblW w:w="0" w:type="auto"/>
          <w:tblInd w:w="108" w:type="dxa"/>
          <w:tblLook w:val="04A0"/>
        </w:tblPrEx>
        <w:tc>
          <w:tcPr>
            <w:tcW w:w="9103" w:type="dxa"/>
          </w:tcPr>
          <w:p w:rsidR="00DC231E" w:rsidRPr="008C3E23" w:rsidP="009241D9" w14:paraId="252EBE07" w14:textId="77777777">
            <w:pPr>
              <w:spacing w:after="120" w:line="276" w:lineRule="auto"/>
              <w:jc w:val="both"/>
              <w:rPr>
                <w:i/>
                <w:iCs/>
              </w:rPr>
            </w:pPr>
          </w:p>
          <w:p w:rsidR="00DC231E" w:rsidRPr="008C3E23" w:rsidP="009241D9" w14:paraId="0D3CC7E5" w14:textId="77777777">
            <w:pPr>
              <w:spacing w:after="120" w:line="276" w:lineRule="auto"/>
              <w:jc w:val="both"/>
              <w:rPr>
                <w:i/>
                <w:iCs/>
              </w:rPr>
            </w:pPr>
          </w:p>
        </w:tc>
      </w:tr>
    </w:tbl>
    <w:p w:rsidR="00DC231E" w:rsidP="00232EFB" w14:paraId="6BD4C604" w14:textId="77777777">
      <w:pPr>
        <w:spacing w:after="120" w:line="276" w:lineRule="auto"/>
        <w:jc w:val="both"/>
      </w:pPr>
    </w:p>
    <w:p w:rsidR="008820A9" w:rsidRPr="008820A9" w:rsidP="005877CE" w14:paraId="008A9651" w14:textId="0B3C2C4E">
      <w:pPr>
        <w:numPr>
          <w:ilvl w:val="1"/>
          <w:numId w:val="8"/>
        </w:numPr>
        <w:spacing w:after="120" w:line="276" w:lineRule="auto"/>
        <w:ind w:left="426"/>
        <w:jc w:val="both"/>
        <w:rPr>
          <w:b/>
          <w:bCs/>
        </w:rPr>
      </w:pPr>
      <w:r w:rsidRPr="008820A9">
        <w:rPr>
          <w:b/>
          <w:bCs/>
        </w:rPr>
        <w:t xml:space="preserve">Utdanningens innhold, struktur og læringsutbytte </w:t>
      </w:r>
      <w:r w:rsidRPr="008820A9">
        <w:t>(</w:t>
      </w:r>
      <w:r>
        <w:t xml:space="preserve">jfr. </w:t>
      </w:r>
      <w:r w:rsidRPr="008820A9">
        <w:t>fagskoletilsynsforskriften § 2</w:t>
      </w:r>
      <w:r>
        <w:t>-</w:t>
      </w:r>
      <w:r w:rsidRPr="008820A9">
        <w:t>1</w:t>
      </w:r>
      <w:r>
        <w:t>b</w:t>
      </w:r>
      <w:r w:rsidRPr="008820A9">
        <w:t>)</w:t>
      </w:r>
    </w:p>
    <w:p w:rsidR="008820A9" w:rsidP="00DC231E" w14:paraId="57F3E5B7" w14:textId="009FC321">
      <w:pPr>
        <w:spacing w:after="120" w:line="276" w:lineRule="auto"/>
        <w:jc w:val="both"/>
      </w:pPr>
      <w:r>
        <w:t>Utdanningens faginnhold og struktur må være utformet slik at studentene har mulighet til å</w:t>
      </w:r>
      <w:r>
        <w:t xml:space="preserve"> oppnå angitt læringsutbytte gjennom å følge studieprogresjonen. Utdanningen er delt inn i emner med selvstendige vurderinger, som gir uttelling i studiepoeng.</w:t>
      </w:r>
    </w:p>
    <w:p w:rsidR="00DC231E" w:rsidP="00DC231E" w14:paraId="59072E66" w14:textId="371E8EA3">
      <w:pPr>
        <w:spacing w:after="120" w:line="276" w:lineRule="auto"/>
        <w:jc w:val="both"/>
      </w:pPr>
      <w:r>
        <w:t>Omfang og innhold av det enkelte emnet må være fastsatt i studieplanen, og underbygge utdanningens overordnede læringsutbytte. Strukturen i utdanningen må være logisk og må under-støtte den læringsprosessen som studenten skal gjennomgå gjennom utdanningsløpet.</w:t>
      </w:r>
    </w:p>
    <w:p w:rsidR="008C3E23" w:rsidP="008C3E23" w14:paraId="19429EB9" w14:textId="72BA8308">
      <w:pPr>
        <w:spacing w:after="120" w:line="276" w:lineRule="auto"/>
        <w:jc w:val="both"/>
      </w:pPr>
      <w:r>
        <w:t>Utdanningen skal ha: i) En samling av overordnede læringsutbyttebeskrivelser som dekker studentens sluttkompetanse fra utdanningen som helhet, ii) egne læringsutbyttebeskrivelser for hvert emne.</w:t>
      </w:r>
    </w:p>
    <w:p w:rsidR="00813160" w:rsidP="008C3E23" w14:paraId="0B10D2AB" w14:textId="3B702108">
      <w:pPr>
        <w:spacing w:after="120" w:line="276" w:lineRule="auto"/>
        <w:jc w:val="both"/>
      </w:pPr>
      <w:r>
        <w:t xml:space="preserve">En læringsutbyttebeskrivelse skal beskrive hva en person vet, kan og er i stand til å gjøre som resultat av læringsprosessen som skjer </w:t>
      </w:r>
      <w:r w:rsidR="000C68BE">
        <w:t xml:space="preserve">under </w:t>
      </w:r>
      <w:r>
        <w:t>gjennom</w:t>
      </w:r>
      <w:r w:rsidR="000C68BE">
        <w:t>føring av</w:t>
      </w:r>
      <w:r>
        <w:t xml:space="preserve"> utdanningen. Det skal være samsvar mellom læringsutbyttet i emner og overordnede læringsutbytter for utdanningen. Hver læringsutbyttebeskrivelse skal være i samsvar med NKR (Nasjonalt kvalifikasjonsrammeverk) sine tre dimensjoner: Kunnskap, ferdighet og generell kompetanse og ligge på nivå 5.</w:t>
      </w:r>
    </w:p>
    <w:tbl>
      <w:tblPr>
        <w:tblStyle w:val="TableGrid"/>
        <w:tblW w:w="0" w:type="auto"/>
        <w:tblInd w:w="108" w:type="dxa"/>
        <w:tblBorders>
          <w:insideH w:val="none" w:sz="0" w:space="0" w:color="auto"/>
        </w:tblBorders>
        <w:tblLook w:val="04A0"/>
      </w:tblPr>
      <w:tblGrid>
        <w:gridCol w:w="9103"/>
      </w:tblGrid>
      <w:tr w14:paraId="1E735308" w14:textId="77777777" w:rsidTr="009241D9">
        <w:tblPrEx>
          <w:tblW w:w="0" w:type="auto"/>
          <w:tblInd w:w="108" w:type="dxa"/>
          <w:tblBorders>
            <w:insideH w:val="none" w:sz="0" w:space="0" w:color="auto"/>
          </w:tblBorders>
          <w:tblLook w:val="04A0"/>
        </w:tblPrEx>
        <w:tc>
          <w:tcPr>
            <w:tcW w:w="9103" w:type="dxa"/>
          </w:tcPr>
          <w:p w:rsidR="00C65027" w:rsidRPr="00267DAC" w:rsidP="009241D9" w14:paraId="5F7B7639" w14:textId="1775319C">
            <w:pPr>
              <w:spacing w:line="276" w:lineRule="auto"/>
              <w:jc w:val="both"/>
              <w:rPr>
                <w:b/>
                <w:bCs/>
              </w:rPr>
            </w:pPr>
            <w:r>
              <w:rPr>
                <w:b/>
                <w:bCs/>
                <w:sz w:val="16"/>
                <w:szCs w:val="18"/>
              </w:rPr>
              <w:t>Begrunnelse for utdanningens faginnhold, struktur og læringsutbytte</w:t>
            </w:r>
            <w:r w:rsidRPr="00267DAC">
              <w:rPr>
                <w:b/>
                <w:bCs/>
                <w:sz w:val="16"/>
                <w:szCs w:val="18"/>
              </w:rPr>
              <w:t>:</w:t>
            </w:r>
          </w:p>
        </w:tc>
      </w:tr>
      <w:tr w14:paraId="3963D4F2" w14:textId="77777777" w:rsidTr="009241D9">
        <w:tblPrEx>
          <w:tblW w:w="0" w:type="auto"/>
          <w:tblInd w:w="108" w:type="dxa"/>
          <w:tblLook w:val="04A0"/>
        </w:tblPrEx>
        <w:tc>
          <w:tcPr>
            <w:tcW w:w="9103" w:type="dxa"/>
          </w:tcPr>
          <w:p w:rsidR="00C65027" w:rsidRPr="008C3E23" w:rsidP="009241D9" w14:paraId="49452A14" w14:textId="77777777">
            <w:pPr>
              <w:spacing w:after="120" w:line="276" w:lineRule="auto"/>
              <w:jc w:val="both"/>
              <w:rPr>
                <w:i/>
                <w:iCs/>
              </w:rPr>
            </w:pPr>
          </w:p>
          <w:p w:rsidR="00C65027" w:rsidRPr="008C3E23" w:rsidP="009241D9" w14:paraId="7D6C28BD" w14:textId="77777777">
            <w:pPr>
              <w:spacing w:after="120" w:line="276" w:lineRule="auto"/>
              <w:jc w:val="both"/>
              <w:rPr>
                <w:i/>
                <w:iCs/>
              </w:rPr>
            </w:pPr>
          </w:p>
        </w:tc>
      </w:tr>
    </w:tbl>
    <w:p w:rsidR="00CA5639" w:rsidP="00C65027" w14:paraId="47136B97" w14:textId="77777777">
      <w:pPr>
        <w:spacing w:after="120" w:line="276" w:lineRule="auto"/>
        <w:jc w:val="both"/>
      </w:pPr>
    </w:p>
    <w:p w:rsidR="00813160" w:rsidRPr="008820A9" w:rsidP="005877CE" w14:paraId="66C0EC36" w14:textId="69BCA879">
      <w:pPr>
        <w:numPr>
          <w:ilvl w:val="1"/>
          <w:numId w:val="8"/>
        </w:numPr>
        <w:spacing w:after="120" w:line="276" w:lineRule="auto"/>
        <w:ind w:left="426"/>
        <w:jc w:val="both"/>
        <w:rPr>
          <w:b/>
          <w:bCs/>
        </w:rPr>
      </w:pPr>
      <w:r w:rsidRPr="008820A9">
        <w:rPr>
          <w:b/>
          <w:bCs/>
        </w:rPr>
        <w:t>U</w:t>
      </w:r>
      <w:r>
        <w:rPr>
          <w:b/>
          <w:bCs/>
        </w:rPr>
        <w:t>n</w:t>
      </w:r>
      <w:r w:rsidRPr="008820A9">
        <w:rPr>
          <w:b/>
          <w:bCs/>
        </w:rPr>
        <w:t>de</w:t>
      </w:r>
      <w:r>
        <w:rPr>
          <w:b/>
          <w:bCs/>
        </w:rPr>
        <w:t>rvis</w:t>
      </w:r>
      <w:r w:rsidRPr="008820A9">
        <w:rPr>
          <w:b/>
          <w:bCs/>
        </w:rPr>
        <w:t>n</w:t>
      </w:r>
      <w:r>
        <w:rPr>
          <w:b/>
          <w:bCs/>
        </w:rPr>
        <w:t>ing, lærings- og vurderingsformer</w:t>
      </w:r>
      <w:r w:rsidRPr="008820A9">
        <w:rPr>
          <w:b/>
          <w:bCs/>
        </w:rPr>
        <w:t xml:space="preserve"> </w:t>
      </w:r>
      <w:r w:rsidRPr="008820A9">
        <w:t>(</w:t>
      </w:r>
      <w:r>
        <w:t xml:space="preserve">jfr. </w:t>
      </w:r>
      <w:r w:rsidRPr="008820A9">
        <w:t>fagskoletilsynsforskriften § 2</w:t>
      </w:r>
      <w:r>
        <w:t>-</w:t>
      </w:r>
      <w:r w:rsidRPr="008820A9">
        <w:t>1</w:t>
      </w:r>
      <w:r>
        <w:t xml:space="preserve"> c</w:t>
      </w:r>
      <w:r w:rsidRPr="008820A9">
        <w:t>)</w:t>
      </w:r>
    </w:p>
    <w:p w:rsidR="00813160" w:rsidP="00C65027" w14:paraId="0D649551" w14:textId="7C19C2A1">
      <w:pPr>
        <w:spacing w:after="120" w:line="276" w:lineRule="auto"/>
        <w:jc w:val="both"/>
      </w:pPr>
      <w:r>
        <w:t>Ut fra beskrivelser i</w:t>
      </w:r>
      <w:r w:rsidR="00847556">
        <w:t xml:space="preserve"> studieplanen skal det fremkomme hvordan undervisning, lærings- og vurderingsformer skal benyttes for å understøtte</w:t>
      </w:r>
      <w:r w:rsidRPr="00E15701" w:rsidR="00847556">
        <w:t xml:space="preserve"> </w:t>
      </w:r>
      <w:r w:rsidR="00847556">
        <w:t>utdanningens faginnhold og struktur. Disse må være tilpasset utdanningen og samsvar</w:t>
      </w:r>
      <w:r>
        <w:t>e</w:t>
      </w:r>
      <w:r w:rsidR="00847556">
        <w:t xml:space="preserve"> med hverandre</w:t>
      </w:r>
      <w:r>
        <w:t xml:space="preserve"> på en</w:t>
      </w:r>
      <w:r w:rsidR="00847556">
        <w:t xml:space="preserve"> slik </w:t>
      </w:r>
      <w:r>
        <w:t xml:space="preserve">måte </w:t>
      </w:r>
      <w:r w:rsidR="00847556">
        <w:t>at studentene kan oppnå læringsutbytte</w:t>
      </w:r>
      <w:r>
        <w:t>t som utdanningen forutsetter</w:t>
      </w:r>
      <w:r w:rsidR="00847556">
        <w:t>. Det bør være en variasjon av teoretiske og praktiske undervisnings- og læringsaktiviteter og vurderingsformene bør ha som hensikt å gi studentene tydelige mål og tilbakemeldinger.</w:t>
      </w:r>
    </w:p>
    <w:tbl>
      <w:tblPr>
        <w:tblStyle w:val="TableGrid"/>
        <w:tblW w:w="0" w:type="auto"/>
        <w:tblInd w:w="108" w:type="dxa"/>
        <w:tblBorders>
          <w:insideH w:val="none" w:sz="0" w:space="0" w:color="auto"/>
        </w:tblBorders>
        <w:tblLook w:val="04A0"/>
      </w:tblPr>
      <w:tblGrid>
        <w:gridCol w:w="9103"/>
      </w:tblGrid>
      <w:tr w14:paraId="35286756" w14:textId="77777777" w:rsidTr="009241D9">
        <w:tblPrEx>
          <w:tblW w:w="0" w:type="auto"/>
          <w:tblInd w:w="108" w:type="dxa"/>
          <w:tblBorders>
            <w:insideH w:val="none" w:sz="0" w:space="0" w:color="auto"/>
          </w:tblBorders>
          <w:tblLook w:val="04A0"/>
        </w:tblPrEx>
        <w:tc>
          <w:tcPr>
            <w:tcW w:w="9103" w:type="dxa"/>
          </w:tcPr>
          <w:p w:rsidR="00117A5C" w:rsidRPr="00267DAC" w:rsidP="009241D9" w14:paraId="70ACEDB7" w14:textId="6DBE2F2D">
            <w:pPr>
              <w:spacing w:line="276" w:lineRule="auto"/>
              <w:jc w:val="both"/>
              <w:rPr>
                <w:b/>
                <w:bCs/>
              </w:rPr>
            </w:pPr>
            <w:r>
              <w:rPr>
                <w:b/>
                <w:bCs/>
                <w:sz w:val="16"/>
                <w:szCs w:val="18"/>
              </w:rPr>
              <w:t xml:space="preserve">Begrunnelse for utdanningens </w:t>
            </w:r>
            <w:r w:rsidR="00CA5639">
              <w:rPr>
                <w:b/>
                <w:bCs/>
                <w:sz w:val="16"/>
                <w:szCs w:val="18"/>
              </w:rPr>
              <w:t>undervisning</w:t>
            </w:r>
            <w:r>
              <w:rPr>
                <w:b/>
                <w:bCs/>
                <w:sz w:val="16"/>
                <w:szCs w:val="18"/>
              </w:rPr>
              <w:t xml:space="preserve">, </w:t>
            </w:r>
            <w:r w:rsidR="00CA5639">
              <w:rPr>
                <w:b/>
                <w:bCs/>
                <w:sz w:val="16"/>
                <w:szCs w:val="18"/>
              </w:rPr>
              <w:t>læring</w:t>
            </w:r>
            <w:r>
              <w:rPr>
                <w:b/>
                <w:bCs/>
                <w:sz w:val="16"/>
                <w:szCs w:val="18"/>
              </w:rPr>
              <w:t>s</w:t>
            </w:r>
            <w:r w:rsidR="00CA5639">
              <w:rPr>
                <w:b/>
                <w:bCs/>
                <w:sz w:val="16"/>
                <w:szCs w:val="18"/>
              </w:rPr>
              <w:t>-</w:t>
            </w:r>
            <w:r>
              <w:rPr>
                <w:b/>
                <w:bCs/>
                <w:sz w:val="16"/>
                <w:szCs w:val="18"/>
              </w:rPr>
              <w:t xml:space="preserve"> og </w:t>
            </w:r>
            <w:r w:rsidR="00CA5639">
              <w:rPr>
                <w:b/>
                <w:bCs/>
                <w:sz w:val="16"/>
                <w:szCs w:val="18"/>
              </w:rPr>
              <w:t>vurderingsformer</w:t>
            </w:r>
            <w:r w:rsidRPr="00267DAC">
              <w:rPr>
                <w:b/>
                <w:bCs/>
                <w:sz w:val="16"/>
                <w:szCs w:val="18"/>
              </w:rPr>
              <w:t>:</w:t>
            </w:r>
          </w:p>
        </w:tc>
      </w:tr>
      <w:tr w14:paraId="107781AF" w14:textId="77777777" w:rsidTr="009241D9">
        <w:tblPrEx>
          <w:tblW w:w="0" w:type="auto"/>
          <w:tblInd w:w="108" w:type="dxa"/>
          <w:tblLook w:val="04A0"/>
        </w:tblPrEx>
        <w:tc>
          <w:tcPr>
            <w:tcW w:w="9103" w:type="dxa"/>
          </w:tcPr>
          <w:p w:rsidR="00117A5C" w:rsidRPr="008C3E23" w:rsidP="009241D9" w14:paraId="6A1130C5" w14:textId="77777777">
            <w:pPr>
              <w:spacing w:after="120" w:line="276" w:lineRule="auto"/>
              <w:jc w:val="both"/>
              <w:rPr>
                <w:i/>
                <w:iCs/>
              </w:rPr>
            </w:pPr>
          </w:p>
          <w:p w:rsidR="00117A5C" w:rsidRPr="008C3E23" w:rsidP="009241D9" w14:paraId="3088F04D" w14:textId="77777777">
            <w:pPr>
              <w:spacing w:after="120" w:line="276" w:lineRule="auto"/>
              <w:jc w:val="both"/>
              <w:rPr>
                <w:i/>
                <w:iCs/>
              </w:rPr>
            </w:pPr>
          </w:p>
        </w:tc>
      </w:tr>
    </w:tbl>
    <w:p w:rsidR="00813160" w:rsidP="00C65027" w14:paraId="5F25E5CF" w14:textId="77777777">
      <w:pPr>
        <w:spacing w:after="120" w:line="276" w:lineRule="auto"/>
        <w:jc w:val="both"/>
      </w:pPr>
    </w:p>
    <w:p w:rsidR="00813160" w:rsidRPr="008820A9" w:rsidP="005877CE" w14:paraId="7384147F" w14:textId="4CBD0B88">
      <w:pPr>
        <w:numPr>
          <w:ilvl w:val="1"/>
          <w:numId w:val="8"/>
        </w:numPr>
        <w:spacing w:after="120" w:line="276" w:lineRule="auto"/>
        <w:ind w:left="426"/>
        <w:jc w:val="both"/>
        <w:rPr>
          <w:b/>
          <w:bCs/>
        </w:rPr>
      </w:pPr>
      <w:r>
        <w:rPr>
          <w:b/>
          <w:bCs/>
        </w:rPr>
        <w:t>Studiepoeng og arbeidsomfang</w:t>
      </w:r>
      <w:r w:rsidRPr="008820A9" w:rsidR="00847556">
        <w:rPr>
          <w:b/>
          <w:bCs/>
        </w:rPr>
        <w:t xml:space="preserve"> </w:t>
      </w:r>
      <w:r w:rsidRPr="008820A9" w:rsidR="00847556">
        <w:t>(</w:t>
      </w:r>
      <w:r w:rsidR="00847556">
        <w:t xml:space="preserve">jfr. </w:t>
      </w:r>
      <w:r w:rsidRPr="008820A9" w:rsidR="00847556">
        <w:t>fagskoletilsynsforskriften § 2</w:t>
      </w:r>
      <w:r>
        <w:t>-</w:t>
      </w:r>
      <w:r w:rsidR="00AA2D5C">
        <w:t>2</w:t>
      </w:r>
      <w:r w:rsidRPr="008820A9" w:rsidR="00847556">
        <w:t>)</w:t>
      </w:r>
    </w:p>
    <w:p w:rsidR="00117A5C" w:rsidP="00C65027" w14:paraId="151EB126" w14:textId="105FED05">
      <w:pPr>
        <w:spacing w:after="120" w:line="276" w:lineRule="auto"/>
        <w:jc w:val="both"/>
      </w:pPr>
      <w:r>
        <w:t xml:space="preserve">Utdanningen </w:t>
      </w:r>
      <w:r w:rsidR="00C96EAC">
        <w:t>skal</w:t>
      </w:r>
      <w:r>
        <w:t xml:space="preserve"> ha et definert arbeidsomfang, som samsvarer med forventet læringsutbytte for studenten. </w:t>
      </w:r>
      <w:r w:rsidR="00CA5639">
        <w:t>Arbeidso</w:t>
      </w:r>
      <w:r>
        <w:t>mfanget ka</w:t>
      </w:r>
      <w:r w:rsidR="00C96EAC">
        <w:t>n</w:t>
      </w:r>
      <w:r>
        <w:t xml:space="preserve"> være på 30, 60, 90 eller 120 studiepoeng, hvis det ikke er gitt unntak etter fagskoleforskriften § 42. Arbeidsomfanget for studentene skal tilsvare 1500-1800 timer per 60 stp.</w:t>
      </w:r>
    </w:p>
    <w:tbl>
      <w:tblPr>
        <w:tblStyle w:val="TableGrid"/>
        <w:tblW w:w="0" w:type="auto"/>
        <w:tblInd w:w="108" w:type="dxa"/>
        <w:tblBorders>
          <w:insideH w:val="none" w:sz="0" w:space="0" w:color="auto"/>
        </w:tblBorders>
        <w:tblLook w:val="04A0"/>
      </w:tblPr>
      <w:tblGrid>
        <w:gridCol w:w="9103"/>
      </w:tblGrid>
      <w:tr w14:paraId="4C611437" w14:textId="77777777" w:rsidTr="009241D9">
        <w:tblPrEx>
          <w:tblW w:w="0" w:type="auto"/>
          <w:tblInd w:w="108" w:type="dxa"/>
          <w:tblBorders>
            <w:insideH w:val="none" w:sz="0" w:space="0" w:color="auto"/>
          </w:tblBorders>
          <w:tblLook w:val="04A0"/>
        </w:tblPrEx>
        <w:tc>
          <w:tcPr>
            <w:tcW w:w="9103" w:type="dxa"/>
          </w:tcPr>
          <w:p w:rsidR="00117A5C" w:rsidRPr="00267DAC" w:rsidP="009241D9" w14:paraId="0A49CD99" w14:textId="6BFCF685">
            <w:pPr>
              <w:spacing w:line="276" w:lineRule="auto"/>
              <w:jc w:val="both"/>
              <w:rPr>
                <w:b/>
                <w:bCs/>
              </w:rPr>
            </w:pPr>
            <w:r>
              <w:rPr>
                <w:b/>
                <w:bCs/>
                <w:sz w:val="16"/>
                <w:szCs w:val="18"/>
              </w:rPr>
              <w:t xml:space="preserve">Begrunnelse for utdanningens </w:t>
            </w:r>
            <w:r w:rsidR="00CA5639">
              <w:rPr>
                <w:b/>
                <w:bCs/>
                <w:sz w:val="16"/>
                <w:szCs w:val="18"/>
              </w:rPr>
              <w:t xml:space="preserve">omfang i studiepoeng </w:t>
            </w:r>
            <w:r>
              <w:rPr>
                <w:b/>
                <w:bCs/>
                <w:sz w:val="16"/>
                <w:szCs w:val="18"/>
              </w:rPr>
              <w:t xml:space="preserve">og </w:t>
            </w:r>
            <w:r w:rsidR="00CA5639">
              <w:rPr>
                <w:b/>
                <w:bCs/>
                <w:sz w:val="16"/>
                <w:szCs w:val="18"/>
              </w:rPr>
              <w:t>arbeidsomfang</w:t>
            </w:r>
            <w:r w:rsidR="00827D59">
              <w:rPr>
                <w:b/>
                <w:bCs/>
                <w:sz w:val="16"/>
                <w:szCs w:val="18"/>
              </w:rPr>
              <w:t xml:space="preserve"> i timer</w:t>
            </w:r>
            <w:r w:rsidRPr="00267DAC">
              <w:rPr>
                <w:b/>
                <w:bCs/>
                <w:sz w:val="16"/>
                <w:szCs w:val="18"/>
              </w:rPr>
              <w:t>:</w:t>
            </w:r>
          </w:p>
        </w:tc>
      </w:tr>
      <w:tr w14:paraId="5D8B0613" w14:textId="77777777" w:rsidTr="009241D9">
        <w:tblPrEx>
          <w:tblW w:w="0" w:type="auto"/>
          <w:tblInd w:w="108" w:type="dxa"/>
          <w:tblLook w:val="04A0"/>
        </w:tblPrEx>
        <w:tc>
          <w:tcPr>
            <w:tcW w:w="9103" w:type="dxa"/>
          </w:tcPr>
          <w:p w:rsidR="00117A5C" w:rsidRPr="008C3E23" w:rsidP="009241D9" w14:paraId="43514D35" w14:textId="77777777">
            <w:pPr>
              <w:spacing w:after="120" w:line="276" w:lineRule="auto"/>
              <w:jc w:val="both"/>
              <w:rPr>
                <w:i/>
                <w:iCs/>
              </w:rPr>
            </w:pPr>
          </w:p>
          <w:p w:rsidR="00117A5C" w:rsidRPr="008C3E23" w:rsidP="009241D9" w14:paraId="210BD22F" w14:textId="77777777">
            <w:pPr>
              <w:spacing w:after="120" w:line="276" w:lineRule="auto"/>
              <w:jc w:val="both"/>
              <w:rPr>
                <w:i/>
                <w:iCs/>
              </w:rPr>
            </w:pPr>
          </w:p>
        </w:tc>
      </w:tr>
    </w:tbl>
    <w:p w:rsidR="00813160" w:rsidP="00C65027" w14:paraId="704323A1" w14:textId="77777777">
      <w:pPr>
        <w:spacing w:after="120" w:line="276" w:lineRule="auto"/>
        <w:jc w:val="both"/>
      </w:pPr>
    </w:p>
    <w:p w:rsidR="00813160" w:rsidRPr="008820A9" w:rsidP="005877CE" w14:paraId="7B27C9F6" w14:textId="25584410">
      <w:pPr>
        <w:numPr>
          <w:ilvl w:val="1"/>
          <w:numId w:val="8"/>
        </w:numPr>
        <w:spacing w:after="120" w:line="276" w:lineRule="auto"/>
        <w:ind w:left="426"/>
        <w:jc w:val="both"/>
        <w:rPr>
          <w:b/>
          <w:bCs/>
        </w:rPr>
      </w:pPr>
      <w:r>
        <w:rPr>
          <w:b/>
          <w:bCs/>
        </w:rPr>
        <w:t>Opptakskra</w:t>
      </w:r>
      <w:r w:rsidR="00847556">
        <w:rPr>
          <w:b/>
          <w:bCs/>
        </w:rPr>
        <w:t>v</w:t>
      </w:r>
      <w:r w:rsidRPr="008820A9" w:rsidR="00847556">
        <w:rPr>
          <w:b/>
          <w:bCs/>
        </w:rPr>
        <w:t xml:space="preserve"> </w:t>
      </w:r>
      <w:r w:rsidRPr="008820A9" w:rsidR="00847556">
        <w:t>(</w:t>
      </w:r>
      <w:r w:rsidR="00847556">
        <w:t xml:space="preserve">jfr. </w:t>
      </w:r>
      <w:r w:rsidRPr="008820A9" w:rsidR="00847556">
        <w:t>fagskoleforskriften</w:t>
      </w:r>
      <w:r w:rsidR="00AA2D5C">
        <w:t>s kapittel 2,</w:t>
      </w:r>
      <w:r w:rsidRPr="008820A9" w:rsidR="00847556">
        <w:t xml:space="preserve"> </w:t>
      </w:r>
      <w:r w:rsidR="00AA2D5C">
        <w:t>§</w:t>
      </w:r>
      <w:r w:rsidRPr="008820A9" w:rsidR="00847556">
        <w:t xml:space="preserve"> </w:t>
      </w:r>
      <w:r w:rsidR="00AA2D5C">
        <w:t>7</w:t>
      </w:r>
      <w:r w:rsidRPr="008820A9" w:rsidR="00847556">
        <w:t>)</w:t>
      </w:r>
    </w:p>
    <w:p w:rsidR="00CA5639" w:rsidP="00C65027" w14:paraId="5D278EDC" w14:textId="3EF26C5B">
      <w:pPr>
        <w:spacing w:after="120" w:line="276" w:lineRule="auto"/>
        <w:jc w:val="both"/>
      </w:pPr>
      <w:r>
        <w:t>Opptak til fagskoleutdanning krever enten relevant fag- eller svennebrev, treårig yrkesfaglig opplæring eller generell studiekompetanse, jf. Nasjonalt kvalifikasjonsrammeverk for livslang læring nivå 4, eller tilsvarende realkompetanse (Fagskoleforskriften § 7, avsnitt 1).</w:t>
      </w:r>
    </w:p>
    <w:p w:rsidR="00CA5639" w:rsidP="00C65027" w14:paraId="32D74E30" w14:textId="77777777">
      <w:pPr>
        <w:spacing w:after="120" w:line="276" w:lineRule="auto"/>
        <w:jc w:val="both"/>
      </w:pPr>
      <w:r>
        <w:t xml:space="preserve">Styret selv kan stille spesielle opptakskrav som er relevante for fagskoleutdanningen. Med spesielle opptakskrav menes krav om bestemte fag, fagbrev, svennebrev, karakterer, poeng, opptaksprøver, arbeidserfaringer, autorisasjoner, sertifiseringer eller andre yrkesgodkjenninger (Fagskoleforskriften § 7 avsnitt 4). </w:t>
      </w:r>
    </w:p>
    <w:p w:rsidR="00813160" w:rsidP="00C65027" w14:paraId="49457D43" w14:textId="343D1F0C">
      <w:pPr>
        <w:spacing w:after="120" w:line="276" w:lineRule="auto"/>
        <w:jc w:val="both"/>
      </w:pPr>
      <w:r>
        <w:t xml:space="preserve">Styret selv kan i tillegg stille opptakskrav om fullført og bestått fagskoleutdanning til fagskoleutdanninger. Annen fagskoleutdanning kan kun settes som opptakskrav i tilfeller der de enkelte fagskoleutdanningene er selvstendige enheter som bygger på hverandre, og det totale løpet for utdanningene som bygger på hverandre ikke overskrider to år. I særlige tilfeller kan det totale utdanningsløpet være opptil tre år, jf. § 42 (Fagskoleforskriften § 7 </w:t>
      </w:r>
      <w:r w:rsidR="00CA5639">
        <w:t xml:space="preserve">avsnitt </w:t>
      </w:r>
      <w:r>
        <w:t>5).</w:t>
      </w:r>
    </w:p>
    <w:p w:rsidR="00117A5C" w:rsidP="00C65027" w14:paraId="4E31B8E1" w14:textId="77777777">
      <w:pPr>
        <w:spacing w:after="120" w:line="276" w:lineRule="auto"/>
        <w:jc w:val="both"/>
      </w:pPr>
    </w:p>
    <w:tbl>
      <w:tblPr>
        <w:tblStyle w:val="TableGrid"/>
        <w:tblW w:w="0" w:type="auto"/>
        <w:tblInd w:w="108" w:type="dxa"/>
        <w:tblBorders>
          <w:insideH w:val="none" w:sz="0" w:space="0" w:color="auto"/>
        </w:tblBorders>
        <w:tblLook w:val="04A0"/>
      </w:tblPr>
      <w:tblGrid>
        <w:gridCol w:w="9103"/>
      </w:tblGrid>
      <w:tr w14:paraId="24AB41A3" w14:textId="77777777" w:rsidTr="009241D9">
        <w:tblPrEx>
          <w:tblW w:w="0" w:type="auto"/>
          <w:tblInd w:w="108" w:type="dxa"/>
          <w:tblBorders>
            <w:insideH w:val="none" w:sz="0" w:space="0" w:color="auto"/>
          </w:tblBorders>
          <w:tblLook w:val="04A0"/>
        </w:tblPrEx>
        <w:tc>
          <w:tcPr>
            <w:tcW w:w="9103" w:type="dxa"/>
          </w:tcPr>
          <w:p w:rsidR="00117A5C" w:rsidRPr="00267DAC" w:rsidP="009241D9" w14:paraId="03F337AB" w14:textId="76189DE9">
            <w:pPr>
              <w:spacing w:line="276" w:lineRule="auto"/>
              <w:jc w:val="both"/>
              <w:rPr>
                <w:b/>
                <w:bCs/>
              </w:rPr>
            </w:pPr>
            <w:r>
              <w:rPr>
                <w:b/>
                <w:bCs/>
                <w:sz w:val="16"/>
                <w:szCs w:val="18"/>
              </w:rPr>
              <w:t>Be</w:t>
            </w:r>
            <w:r w:rsidR="00AA2D5C">
              <w:rPr>
                <w:b/>
                <w:bCs/>
                <w:sz w:val="16"/>
                <w:szCs w:val="18"/>
              </w:rPr>
              <w:t>skrivelse av og be</w:t>
            </w:r>
            <w:r>
              <w:rPr>
                <w:b/>
                <w:bCs/>
                <w:sz w:val="16"/>
                <w:szCs w:val="18"/>
              </w:rPr>
              <w:t xml:space="preserve">grunnelse for utdanningens </w:t>
            </w:r>
            <w:r w:rsidR="00827D59">
              <w:rPr>
                <w:b/>
                <w:bCs/>
                <w:sz w:val="16"/>
                <w:szCs w:val="18"/>
              </w:rPr>
              <w:t>opptakskrav</w:t>
            </w:r>
            <w:r w:rsidRPr="00267DAC">
              <w:rPr>
                <w:b/>
                <w:bCs/>
                <w:sz w:val="16"/>
                <w:szCs w:val="18"/>
              </w:rPr>
              <w:t>:</w:t>
            </w:r>
          </w:p>
        </w:tc>
      </w:tr>
      <w:tr w14:paraId="1C761983" w14:textId="77777777" w:rsidTr="009241D9">
        <w:tblPrEx>
          <w:tblW w:w="0" w:type="auto"/>
          <w:tblInd w:w="108" w:type="dxa"/>
          <w:tblLook w:val="04A0"/>
        </w:tblPrEx>
        <w:tc>
          <w:tcPr>
            <w:tcW w:w="9103" w:type="dxa"/>
          </w:tcPr>
          <w:p w:rsidR="00117A5C" w:rsidRPr="008C3E23" w:rsidP="009241D9" w14:paraId="5901CBA0" w14:textId="77777777">
            <w:pPr>
              <w:spacing w:after="120" w:line="276" w:lineRule="auto"/>
              <w:jc w:val="both"/>
              <w:rPr>
                <w:i/>
                <w:iCs/>
              </w:rPr>
            </w:pPr>
          </w:p>
          <w:p w:rsidR="00117A5C" w:rsidRPr="008C3E23" w:rsidP="009241D9" w14:paraId="34EDA8EB" w14:textId="77777777">
            <w:pPr>
              <w:spacing w:after="120" w:line="276" w:lineRule="auto"/>
              <w:jc w:val="both"/>
              <w:rPr>
                <w:i/>
                <w:iCs/>
              </w:rPr>
            </w:pPr>
          </w:p>
        </w:tc>
      </w:tr>
    </w:tbl>
    <w:p w:rsidR="00813160" w:rsidP="00C65027" w14:paraId="41D00FAB" w14:textId="77777777">
      <w:pPr>
        <w:spacing w:after="120" w:line="276" w:lineRule="auto"/>
        <w:jc w:val="both"/>
      </w:pPr>
    </w:p>
    <w:p w:rsidR="00813160" w:rsidRPr="008820A9" w:rsidP="005877CE" w14:paraId="369F1707" w14:textId="161A4ADF">
      <w:pPr>
        <w:numPr>
          <w:ilvl w:val="1"/>
          <w:numId w:val="8"/>
        </w:numPr>
        <w:spacing w:after="120" w:line="276" w:lineRule="auto"/>
        <w:ind w:left="426"/>
        <w:jc w:val="both"/>
        <w:rPr>
          <w:b/>
          <w:bCs/>
        </w:rPr>
      </w:pPr>
      <w:r>
        <w:rPr>
          <w:b/>
          <w:bCs/>
        </w:rPr>
        <w:t>Politiattest</w:t>
      </w:r>
      <w:r w:rsidRPr="008820A9" w:rsidR="00847556">
        <w:rPr>
          <w:b/>
          <w:bCs/>
        </w:rPr>
        <w:t xml:space="preserve"> </w:t>
      </w:r>
      <w:r w:rsidRPr="008820A9" w:rsidR="00847556">
        <w:t>(</w:t>
      </w:r>
      <w:r w:rsidR="00847556">
        <w:t xml:space="preserve">jfr. </w:t>
      </w:r>
      <w:r w:rsidRPr="008820A9" w:rsidR="00847556">
        <w:t xml:space="preserve">fagskoleforskriften </w:t>
      </w:r>
      <w:r w:rsidR="00663F08">
        <w:t>§</w:t>
      </w:r>
      <w:r w:rsidRPr="008820A9" w:rsidR="00847556">
        <w:t>§ 1</w:t>
      </w:r>
      <w:r w:rsidR="00663F08">
        <w:t>9-2</w:t>
      </w:r>
      <w:r>
        <w:t>3</w:t>
      </w:r>
      <w:r w:rsidRPr="008820A9" w:rsidR="00847556">
        <w:t>)</w:t>
      </w:r>
    </w:p>
    <w:p w:rsidR="00117A5C" w:rsidP="00C65027" w14:paraId="749C4593" w14:textId="6D345B24">
      <w:pPr>
        <w:spacing w:after="120" w:line="276" w:lineRule="auto"/>
        <w:jc w:val="both"/>
      </w:pPr>
      <w:r>
        <w:t>For enkelte utdanninger kreves det politiattest. Trøndelag høyere yrkesf</w:t>
      </w:r>
      <w:r w:rsidR="00847556">
        <w:t xml:space="preserve">agskole krever politiattest fra studenter </w:t>
      </w:r>
      <w:r>
        <w:t xml:space="preserve">som søker på </w:t>
      </w:r>
      <w:r w:rsidR="00847556">
        <w:t>utdanninger hvor studenter kommer i kontakt med mindreårige som en del av klinisk undervisning eller praksisopplæring</w:t>
      </w:r>
      <w:r>
        <w:t>, jfr. politiregisterloven §39</w:t>
      </w:r>
      <w:r w:rsidR="00836C09">
        <w:t>.</w:t>
      </w:r>
      <w:r w:rsidR="00A23F22">
        <w:t xml:space="preserve"> </w:t>
      </w:r>
      <w:r w:rsidR="00836C09">
        <w:t>F</w:t>
      </w:r>
      <w:r w:rsidR="00663F08">
        <w:t>orskrift om høyere yrkesfaglig utdanning ved Trøndelag høyere yrkesfagskole</w:t>
      </w:r>
      <w:r w:rsidR="00A23F22">
        <w:t xml:space="preserve"> § 3.2 omhandler </w:t>
      </w:r>
      <w:r w:rsidR="00836C09">
        <w:t xml:space="preserve">også </w:t>
      </w:r>
      <w:r w:rsidR="00A23F22">
        <w:t xml:space="preserve">krav </w:t>
      </w:r>
      <w:r w:rsidR="00836C09">
        <w:t>til</w:t>
      </w:r>
      <w:r w:rsidR="00A23F22">
        <w:t xml:space="preserve"> politiattest.</w:t>
      </w:r>
    </w:p>
    <w:tbl>
      <w:tblPr>
        <w:tblStyle w:val="TableGrid"/>
        <w:tblW w:w="0" w:type="auto"/>
        <w:tblInd w:w="108" w:type="dxa"/>
        <w:tblBorders>
          <w:insideH w:val="none" w:sz="0" w:space="0" w:color="auto"/>
        </w:tblBorders>
        <w:tblLook w:val="04A0"/>
      </w:tblPr>
      <w:tblGrid>
        <w:gridCol w:w="9103"/>
      </w:tblGrid>
      <w:tr w14:paraId="758EDDD5" w14:textId="77777777" w:rsidTr="009241D9">
        <w:tblPrEx>
          <w:tblW w:w="0" w:type="auto"/>
          <w:tblInd w:w="108" w:type="dxa"/>
          <w:tblBorders>
            <w:insideH w:val="none" w:sz="0" w:space="0" w:color="auto"/>
          </w:tblBorders>
          <w:tblLook w:val="04A0"/>
        </w:tblPrEx>
        <w:tc>
          <w:tcPr>
            <w:tcW w:w="9103" w:type="dxa"/>
          </w:tcPr>
          <w:p w:rsidR="00117A5C" w:rsidRPr="00267DAC" w:rsidP="009241D9" w14:paraId="79BD7DC5" w14:textId="4E12F96F">
            <w:pPr>
              <w:spacing w:line="276" w:lineRule="auto"/>
              <w:jc w:val="both"/>
              <w:rPr>
                <w:b/>
                <w:bCs/>
              </w:rPr>
            </w:pPr>
            <w:r>
              <w:rPr>
                <w:b/>
                <w:bCs/>
                <w:sz w:val="16"/>
                <w:szCs w:val="18"/>
              </w:rPr>
              <w:t xml:space="preserve">Begrunnelse for </w:t>
            </w:r>
            <w:r w:rsidR="00663F08">
              <w:rPr>
                <w:b/>
                <w:bCs/>
                <w:sz w:val="16"/>
                <w:szCs w:val="18"/>
              </w:rPr>
              <w:t>krav om politiattest</w:t>
            </w:r>
            <w:r w:rsidRPr="00267DAC">
              <w:rPr>
                <w:b/>
                <w:bCs/>
                <w:sz w:val="16"/>
                <w:szCs w:val="18"/>
              </w:rPr>
              <w:t>:</w:t>
            </w:r>
          </w:p>
        </w:tc>
      </w:tr>
      <w:tr w14:paraId="59CB4962" w14:textId="77777777" w:rsidTr="009241D9">
        <w:tblPrEx>
          <w:tblW w:w="0" w:type="auto"/>
          <w:tblInd w:w="108" w:type="dxa"/>
          <w:tblLook w:val="04A0"/>
        </w:tblPrEx>
        <w:tc>
          <w:tcPr>
            <w:tcW w:w="9103" w:type="dxa"/>
          </w:tcPr>
          <w:p w:rsidR="00117A5C" w:rsidRPr="008C3E23" w:rsidP="009241D9" w14:paraId="04E12A8B" w14:textId="77777777">
            <w:pPr>
              <w:spacing w:after="120" w:line="276" w:lineRule="auto"/>
              <w:jc w:val="both"/>
              <w:rPr>
                <w:i/>
                <w:iCs/>
              </w:rPr>
            </w:pPr>
          </w:p>
          <w:p w:rsidR="00117A5C" w:rsidRPr="008C3E23" w:rsidP="009241D9" w14:paraId="4D29DB34" w14:textId="77777777">
            <w:pPr>
              <w:spacing w:after="120" w:line="276" w:lineRule="auto"/>
              <w:jc w:val="both"/>
              <w:rPr>
                <w:i/>
                <w:iCs/>
              </w:rPr>
            </w:pPr>
          </w:p>
        </w:tc>
      </w:tr>
    </w:tbl>
    <w:p w:rsidR="00813160" w:rsidP="00C65027" w14:paraId="666AC6B0" w14:textId="77777777">
      <w:pPr>
        <w:spacing w:after="120" w:line="276" w:lineRule="auto"/>
        <w:jc w:val="both"/>
      </w:pPr>
    </w:p>
    <w:p w:rsidR="00813160" w:rsidRPr="008820A9" w:rsidP="005877CE" w14:paraId="46D90FCB" w14:textId="7153D3C3">
      <w:pPr>
        <w:numPr>
          <w:ilvl w:val="1"/>
          <w:numId w:val="8"/>
        </w:numPr>
        <w:spacing w:after="120" w:line="276" w:lineRule="auto"/>
        <w:ind w:left="426"/>
        <w:jc w:val="both"/>
        <w:rPr>
          <w:b/>
          <w:bCs/>
        </w:rPr>
      </w:pPr>
      <w:r>
        <w:rPr>
          <w:b/>
          <w:bCs/>
        </w:rPr>
        <w:t>Skikkethetsvurdering</w:t>
      </w:r>
      <w:r w:rsidRPr="008820A9" w:rsidR="00847556">
        <w:rPr>
          <w:b/>
          <w:bCs/>
        </w:rPr>
        <w:t xml:space="preserve"> </w:t>
      </w:r>
      <w:r w:rsidRPr="008820A9" w:rsidR="00847556">
        <w:t>(</w:t>
      </w:r>
      <w:r w:rsidR="00847556">
        <w:t xml:space="preserve">jfr. </w:t>
      </w:r>
      <w:r w:rsidRPr="008820A9" w:rsidR="00847556">
        <w:t>fagskoleforskriften §</w:t>
      </w:r>
      <w:r w:rsidR="004B6D30">
        <w:t>§</w:t>
      </w:r>
      <w:r w:rsidRPr="008820A9" w:rsidR="00847556">
        <w:t xml:space="preserve"> 2</w:t>
      </w:r>
      <w:r w:rsidR="004B6D30">
        <w:t>6-36</w:t>
      </w:r>
      <w:r w:rsidRPr="008820A9" w:rsidR="00847556">
        <w:t>)</w:t>
      </w:r>
    </w:p>
    <w:p w:rsidR="00A23F22" w:rsidP="00C65027" w14:paraId="56B0551B" w14:textId="4BAF5669">
      <w:pPr>
        <w:spacing w:after="120" w:line="276" w:lineRule="auto"/>
        <w:jc w:val="both"/>
      </w:pPr>
      <w:r>
        <w:t xml:space="preserve">Skikkethetsvurderinger skal avdekke om studenten har de nødvendige forutsetningene for å kunne utøve yrket. </w:t>
      </w:r>
      <w:r w:rsidRPr="00A23F22">
        <w:t>En student som i utdanningen eller i fremtidig yrkesutøvelse kan utgjøre fare for liv, fysisk og/eller psykisk helse, rettigheter og sikkerhet til barn, unge eller voksne i sårbare situasjoner, er ikke skikket for yrket.</w:t>
      </w:r>
    </w:p>
    <w:p w:rsidR="00A23F22" w:rsidP="00C65027" w14:paraId="14CA3A95" w14:textId="72376114">
      <w:pPr>
        <w:spacing w:after="120" w:line="276" w:lineRule="auto"/>
        <w:jc w:val="both"/>
      </w:pPr>
      <w:r>
        <w:t xml:space="preserve">Skikkethetsvurdering skal </w:t>
      </w:r>
      <w:r w:rsidR="004B6D30">
        <w:t xml:space="preserve">derfor gjennomføres for </w:t>
      </w:r>
      <w:r>
        <w:t>alle utdanninger der studenten kan utgjøre en fare. Dette gjelder for samtlige fagskoleutdanninger, etter- og videreutdanninger innen fagområde helse- og oppvekst og fagskoleutdanninger innen det maritime fagområdet</w:t>
      </w:r>
      <w:r w:rsidR="004B6D30">
        <w:t>. F</w:t>
      </w:r>
      <w:r>
        <w:t>orskrift om høyere yrkesfaglig utdanning ved Trøndelag høyere yrkesfagskole</w:t>
      </w:r>
      <w:r w:rsidR="004B6D30">
        <w:t xml:space="preserve"> </w:t>
      </w:r>
      <w:r>
        <w:t>§ 3.1 omhandler skikkethetsvurderinger.</w:t>
      </w:r>
    </w:p>
    <w:tbl>
      <w:tblPr>
        <w:tblStyle w:val="TableGrid"/>
        <w:tblW w:w="0" w:type="auto"/>
        <w:tblInd w:w="108" w:type="dxa"/>
        <w:tblBorders>
          <w:insideH w:val="none" w:sz="0" w:space="0" w:color="auto"/>
        </w:tblBorders>
        <w:tblLook w:val="04A0"/>
      </w:tblPr>
      <w:tblGrid>
        <w:gridCol w:w="9103"/>
      </w:tblGrid>
      <w:tr w14:paraId="17062968" w14:textId="77777777" w:rsidTr="00895ABA">
        <w:tblPrEx>
          <w:tblW w:w="0" w:type="auto"/>
          <w:tblInd w:w="108" w:type="dxa"/>
          <w:tblBorders>
            <w:insideH w:val="none" w:sz="0" w:space="0" w:color="auto"/>
          </w:tblBorders>
          <w:tblLook w:val="04A0"/>
        </w:tblPrEx>
        <w:tc>
          <w:tcPr>
            <w:tcW w:w="9103" w:type="dxa"/>
          </w:tcPr>
          <w:p w:rsidR="004B6D30" w:rsidRPr="00267DAC" w:rsidP="00895ABA" w14:paraId="68C635AD" w14:textId="41573D2A">
            <w:pPr>
              <w:spacing w:line="276" w:lineRule="auto"/>
              <w:jc w:val="both"/>
              <w:rPr>
                <w:b/>
                <w:bCs/>
              </w:rPr>
            </w:pPr>
            <w:r>
              <w:rPr>
                <w:b/>
                <w:bCs/>
                <w:sz w:val="16"/>
                <w:szCs w:val="18"/>
              </w:rPr>
              <w:t xml:space="preserve">Begrunnelse for krav om </w:t>
            </w:r>
            <w:r>
              <w:rPr>
                <w:b/>
                <w:bCs/>
                <w:sz w:val="16"/>
                <w:szCs w:val="18"/>
              </w:rPr>
              <w:t>skikkethetsvurdering</w:t>
            </w:r>
            <w:r w:rsidRPr="00267DAC">
              <w:rPr>
                <w:b/>
                <w:bCs/>
                <w:sz w:val="16"/>
                <w:szCs w:val="18"/>
              </w:rPr>
              <w:t>:</w:t>
            </w:r>
          </w:p>
        </w:tc>
      </w:tr>
      <w:tr w14:paraId="6181DD48" w14:textId="77777777" w:rsidTr="00895ABA">
        <w:tblPrEx>
          <w:tblW w:w="0" w:type="auto"/>
          <w:tblInd w:w="108" w:type="dxa"/>
          <w:tblLook w:val="04A0"/>
        </w:tblPrEx>
        <w:tc>
          <w:tcPr>
            <w:tcW w:w="9103" w:type="dxa"/>
          </w:tcPr>
          <w:p w:rsidR="004B6D30" w:rsidRPr="008C3E23" w:rsidP="00895ABA" w14:paraId="626F4269" w14:textId="77777777">
            <w:pPr>
              <w:spacing w:after="120" w:line="276" w:lineRule="auto"/>
              <w:jc w:val="both"/>
              <w:rPr>
                <w:i/>
                <w:iCs/>
              </w:rPr>
            </w:pPr>
          </w:p>
          <w:p w:rsidR="004B6D30" w:rsidRPr="008C3E23" w:rsidP="00895ABA" w14:paraId="6153A8DC" w14:textId="77777777">
            <w:pPr>
              <w:spacing w:after="120" w:line="276" w:lineRule="auto"/>
              <w:jc w:val="both"/>
              <w:rPr>
                <w:i/>
                <w:iCs/>
              </w:rPr>
            </w:pPr>
          </w:p>
        </w:tc>
      </w:tr>
    </w:tbl>
    <w:p w:rsidR="00117A5C" w:rsidP="00C65027" w14:paraId="37DE02E9" w14:textId="77777777">
      <w:pPr>
        <w:spacing w:after="120" w:line="276" w:lineRule="auto"/>
        <w:jc w:val="both"/>
      </w:pPr>
    </w:p>
    <w:p w:rsidR="00813160" w:rsidRPr="008820A9" w:rsidP="00813160" w14:paraId="4D2A158B" w14:textId="09D278AF">
      <w:pPr>
        <w:numPr>
          <w:ilvl w:val="1"/>
          <w:numId w:val="8"/>
        </w:numPr>
        <w:spacing w:after="120" w:line="276" w:lineRule="auto"/>
        <w:ind w:left="284"/>
        <w:jc w:val="both"/>
        <w:rPr>
          <w:b/>
          <w:bCs/>
        </w:rPr>
      </w:pPr>
      <w:r>
        <w:rPr>
          <w:b/>
          <w:bCs/>
        </w:rPr>
        <w:t>Internasjonale standarder, konvensjoner og avtaler</w:t>
      </w:r>
      <w:r w:rsidRPr="008820A9" w:rsidR="00847556">
        <w:rPr>
          <w:b/>
          <w:bCs/>
        </w:rPr>
        <w:t xml:space="preserve"> </w:t>
      </w:r>
      <w:r w:rsidRPr="008820A9" w:rsidR="00847556">
        <w:t>(</w:t>
      </w:r>
      <w:r w:rsidR="00847556">
        <w:t xml:space="preserve">jfr. </w:t>
      </w:r>
      <w:r w:rsidRPr="008820A9" w:rsidR="00847556">
        <w:t xml:space="preserve">fagskoleforskriften § </w:t>
      </w:r>
      <w:r w:rsidR="00847556">
        <w:t>47</w:t>
      </w:r>
      <w:r w:rsidR="00AA2D5C">
        <w:t xml:space="preserve"> (4)</w:t>
      </w:r>
      <w:r w:rsidRPr="008820A9" w:rsidR="00847556">
        <w:t>)</w:t>
      </w:r>
    </w:p>
    <w:p w:rsidR="00813160" w:rsidP="00C65027" w14:paraId="529DCD99" w14:textId="2D9DECC8">
      <w:pPr>
        <w:spacing w:after="120" w:line="276" w:lineRule="auto"/>
        <w:jc w:val="both"/>
      </w:pPr>
      <w:r>
        <w:t xml:space="preserve">Fagskoleutdanninger skal være i tråd med internasjonale standarder, konvensjoner og avtaler som Norge er forpliktet å følge, der </w:t>
      </w:r>
      <w:r w:rsidR="007B5B1E">
        <w:t xml:space="preserve">slike krav eller forutsetninger </w:t>
      </w:r>
      <w:r>
        <w:t>foreligger.</w:t>
      </w:r>
    </w:p>
    <w:tbl>
      <w:tblPr>
        <w:tblStyle w:val="TableGrid"/>
        <w:tblW w:w="0" w:type="auto"/>
        <w:tblInd w:w="108" w:type="dxa"/>
        <w:tblBorders>
          <w:insideH w:val="none" w:sz="0" w:space="0" w:color="auto"/>
        </w:tblBorders>
        <w:tblLook w:val="04A0"/>
      </w:tblPr>
      <w:tblGrid>
        <w:gridCol w:w="9103"/>
      </w:tblGrid>
      <w:tr w14:paraId="1893C41A" w14:textId="77777777" w:rsidTr="009241D9">
        <w:tblPrEx>
          <w:tblW w:w="0" w:type="auto"/>
          <w:tblInd w:w="108" w:type="dxa"/>
          <w:tblBorders>
            <w:insideH w:val="none" w:sz="0" w:space="0" w:color="auto"/>
          </w:tblBorders>
          <w:tblLook w:val="04A0"/>
        </w:tblPrEx>
        <w:tc>
          <w:tcPr>
            <w:tcW w:w="9103" w:type="dxa"/>
          </w:tcPr>
          <w:p w:rsidR="00117A5C" w:rsidRPr="00267DAC" w:rsidP="009241D9" w14:paraId="66CB193A" w14:textId="13551019">
            <w:pPr>
              <w:spacing w:line="276" w:lineRule="auto"/>
              <w:jc w:val="both"/>
              <w:rPr>
                <w:b/>
                <w:bCs/>
              </w:rPr>
            </w:pPr>
            <w:r>
              <w:rPr>
                <w:b/>
                <w:bCs/>
                <w:sz w:val="16"/>
                <w:szCs w:val="18"/>
              </w:rPr>
              <w:t>Be</w:t>
            </w:r>
            <w:r w:rsidR="00836C09">
              <w:rPr>
                <w:b/>
                <w:bCs/>
                <w:sz w:val="16"/>
                <w:szCs w:val="18"/>
              </w:rPr>
              <w:t>skrivelse/be</w:t>
            </w:r>
            <w:r>
              <w:rPr>
                <w:b/>
                <w:bCs/>
                <w:sz w:val="16"/>
                <w:szCs w:val="18"/>
              </w:rPr>
              <w:t>grunnelse for krav i internasjonale standarder, konvensjoner og avtaler:</w:t>
            </w:r>
          </w:p>
        </w:tc>
      </w:tr>
      <w:tr w14:paraId="1803B517" w14:textId="77777777" w:rsidTr="009241D9">
        <w:tblPrEx>
          <w:tblW w:w="0" w:type="auto"/>
          <w:tblInd w:w="108" w:type="dxa"/>
          <w:tblLook w:val="04A0"/>
        </w:tblPrEx>
        <w:tc>
          <w:tcPr>
            <w:tcW w:w="9103" w:type="dxa"/>
          </w:tcPr>
          <w:p w:rsidR="00117A5C" w:rsidRPr="008C3E23" w:rsidP="009241D9" w14:paraId="77D6E0D9" w14:textId="77777777">
            <w:pPr>
              <w:spacing w:after="120" w:line="276" w:lineRule="auto"/>
              <w:jc w:val="both"/>
              <w:rPr>
                <w:i/>
                <w:iCs/>
              </w:rPr>
            </w:pPr>
          </w:p>
          <w:p w:rsidR="00117A5C" w:rsidRPr="008C3E23" w:rsidP="009241D9" w14:paraId="097CE902" w14:textId="77777777">
            <w:pPr>
              <w:spacing w:after="120" w:line="276" w:lineRule="auto"/>
              <w:jc w:val="both"/>
              <w:rPr>
                <w:i/>
                <w:iCs/>
              </w:rPr>
            </w:pPr>
          </w:p>
        </w:tc>
      </w:tr>
    </w:tbl>
    <w:p w:rsidR="00B86626" w:rsidP="005D2E5A" w14:paraId="6FA3EECD" w14:textId="3B3925AC">
      <w:pPr>
        <w:pStyle w:val="Heading1"/>
        <w:numPr>
          <w:ilvl w:val="0"/>
          <w:numId w:val="3"/>
        </w:numPr>
        <w:spacing w:after="120" w:line="276" w:lineRule="auto"/>
        <w:ind w:left="426"/>
        <w:jc w:val="both"/>
      </w:pPr>
      <w:r>
        <w:t xml:space="preserve">Krav til organisering av utdanningen </w:t>
      </w:r>
    </w:p>
    <w:p w:rsidR="00813160" w:rsidRPr="008820A9" w:rsidP="005877CE" w14:paraId="6AD407AB" w14:textId="526C7188">
      <w:pPr>
        <w:numPr>
          <w:ilvl w:val="1"/>
          <w:numId w:val="10"/>
        </w:numPr>
        <w:spacing w:after="120" w:line="276" w:lineRule="auto"/>
        <w:ind w:left="567" w:hanging="437"/>
        <w:jc w:val="both"/>
        <w:rPr>
          <w:b/>
          <w:bCs/>
        </w:rPr>
      </w:pPr>
      <w:r>
        <w:rPr>
          <w:b/>
          <w:bCs/>
        </w:rPr>
        <w:t>Fagmiljøet tilknyttet utdanningen</w:t>
      </w:r>
      <w:r w:rsidRPr="008820A9">
        <w:rPr>
          <w:b/>
          <w:bCs/>
        </w:rPr>
        <w:t xml:space="preserve"> </w:t>
      </w:r>
      <w:r w:rsidRPr="008820A9">
        <w:t>(</w:t>
      </w:r>
      <w:r>
        <w:t xml:space="preserve">jfr. </w:t>
      </w:r>
      <w:r w:rsidRPr="008820A9">
        <w:t>fagskoletilsynsforskriften § 2</w:t>
      </w:r>
      <w:r w:rsidR="00AA2D5C">
        <w:t>-</w:t>
      </w:r>
      <w:r>
        <w:t>3)</w:t>
      </w:r>
    </w:p>
    <w:p w:rsidR="00B86626" w:rsidP="00813160" w14:paraId="62ACA4DF" w14:textId="14DF187B">
      <w:pPr>
        <w:spacing w:after="120" w:line="276" w:lineRule="auto"/>
        <w:jc w:val="both"/>
      </w:pPr>
      <w:r>
        <w:t xml:space="preserve">Fagmiljøet skal stå i forhold til utdanningen og være i samsvar med fagskoletilsynsforskriften § 2.3. </w:t>
      </w:r>
      <w:r w:rsidR="00F36BAC">
        <w:t>F</w:t>
      </w:r>
      <w:r>
        <w:t xml:space="preserve">agmiljøets størrelse, kompetanse og sammensetning vil være førende for </w:t>
      </w:r>
      <w:r w:rsidR="00F36BAC">
        <w:t xml:space="preserve">å utvikle og opprettholde </w:t>
      </w:r>
      <w:r>
        <w:t>kvalitet</w:t>
      </w:r>
      <w:r w:rsidR="00F36BAC">
        <w:t>en på utdanningen</w:t>
      </w:r>
      <w:r>
        <w:t>.</w:t>
      </w:r>
    </w:p>
    <w:tbl>
      <w:tblPr>
        <w:tblStyle w:val="TableGrid"/>
        <w:tblW w:w="0" w:type="auto"/>
        <w:tblInd w:w="108" w:type="dxa"/>
        <w:tblBorders>
          <w:insideH w:val="none" w:sz="0" w:space="0" w:color="auto"/>
        </w:tblBorders>
        <w:tblLook w:val="04A0"/>
      </w:tblPr>
      <w:tblGrid>
        <w:gridCol w:w="9103"/>
      </w:tblGrid>
      <w:tr w14:paraId="79C45785" w14:textId="77777777" w:rsidTr="009241D9">
        <w:tblPrEx>
          <w:tblW w:w="0" w:type="auto"/>
          <w:tblInd w:w="108" w:type="dxa"/>
          <w:tblBorders>
            <w:insideH w:val="none" w:sz="0" w:space="0" w:color="auto"/>
          </w:tblBorders>
          <w:tblLook w:val="04A0"/>
        </w:tblPrEx>
        <w:tc>
          <w:tcPr>
            <w:tcW w:w="9103" w:type="dxa"/>
          </w:tcPr>
          <w:p w:rsidR="00117A5C" w:rsidRPr="00267DAC" w:rsidP="009241D9" w14:paraId="6146F225" w14:textId="437A877C">
            <w:pPr>
              <w:spacing w:line="276" w:lineRule="auto"/>
              <w:jc w:val="both"/>
              <w:rPr>
                <w:b/>
                <w:bCs/>
              </w:rPr>
            </w:pPr>
            <w:r>
              <w:rPr>
                <w:b/>
                <w:bCs/>
                <w:sz w:val="16"/>
                <w:szCs w:val="18"/>
              </w:rPr>
              <w:t>Be</w:t>
            </w:r>
            <w:r w:rsidR="00F36BAC">
              <w:rPr>
                <w:b/>
                <w:bCs/>
                <w:sz w:val="16"/>
                <w:szCs w:val="18"/>
              </w:rPr>
              <w:t>skrivelse av</w:t>
            </w:r>
            <w:r>
              <w:rPr>
                <w:b/>
                <w:bCs/>
                <w:sz w:val="16"/>
                <w:szCs w:val="18"/>
              </w:rPr>
              <w:t xml:space="preserve"> fagmiljø for utdanningen</w:t>
            </w:r>
            <w:r w:rsidRPr="00267DAC">
              <w:rPr>
                <w:b/>
                <w:bCs/>
                <w:sz w:val="16"/>
                <w:szCs w:val="18"/>
              </w:rPr>
              <w:t>:</w:t>
            </w:r>
          </w:p>
        </w:tc>
      </w:tr>
      <w:tr w14:paraId="38157E63" w14:textId="77777777" w:rsidTr="009241D9">
        <w:tblPrEx>
          <w:tblW w:w="0" w:type="auto"/>
          <w:tblInd w:w="108" w:type="dxa"/>
          <w:tblLook w:val="04A0"/>
        </w:tblPrEx>
        <w:tc>
          <w:tcPr>
            <w:tcW w:w="9103" w:type="dxa"/>
          </w:tcPr>
          <w:p w:rsidR="00117A5C" w:rsidRPr="008C3E23" w:rsidP="009241D9" w14:paraId="7C5E8099" w14:textId="77777777">
            <w:pPr>
              <w:spacing w:after="120" w:line="276" w:lineRule="auto"/>
              <w:jc w:val="both"/>
              <w:rPr>
                <w:i/>
                <w:iCs/>
              </w:rPr>
            </w:pPr>
          </w:p>
          <w:p w:rsidR="00117A5C" w:rsidRPr="008C3E23" w:rsidP="009241D9" w14:paraId="50787461" w14:textId="77777777">
            <w:pPr>
              <w:spacing w:after="120" w:line="276" w:lineRule="auto"/>
              <w:jc w:val="both"/>
              <w:rPr>
                <w:i/>
                <w:iCs/>
              </w:rPr>
            </w:pPr>
          </w:p>
        </w:tc>
      </w:tr>
    </w:tbl>
    <w:p w:rsidR="00117A5C" w:rsidP="00813160" w14:paraId="314275C7" w14:textId="77777777">
      <w:pPr>
        <w:spacing w:after="120" w:line="276" w:lineRule="auto"/>
        <w:jc w:val="both"/>
      </w:pPr>
    </w:p>
    <w:p w:rsidR="00813160" w:rsidRPr="008820A9" w:rsidP="005877CE" w14:paraId="6CE5941C" w14:textId="7F53604B">
      <w:pPr>
        <w:numPr>
          <w:ilvl w:val="1"/>
          <w:numId w:val="10"/>
        </w:numPr>
        <w:spacing w:after="120" w:line="276" w:lineRule="auto"/>
        <w:ind w:left="567" w:hanging="437"/>
        <w:jc w:val="both"/>
        <w:rPr>
          <w:b/>
          <w:bCs/>
        </w:rPr>
      </w:pPr>
      <w:r>
        <w:rPr>
          <w:b/>
          <w:bCs/>
        </w:rPr>
        <w:t>For utdanninger hvor det kreves praksis</w:t>
      </w:r>
      <w:r w:rsidRPr="008820A9" w:rsidR="0005130C">
        <w:rPr>
          <w:b/>
          <w:bCs/>
        </w:rPr>
        <w:t xml:space="preserve"> </w:t>
      </w:r>
      <w:r w:rsidRPr="008820A9" w:rsidR="0005130C">
        <w:t>(</w:t>
      </w:r>
      <w:r w:rsidR="0005130C">
        <w:t xml:space="preserve">jfr. </w:t>
      </w:r>
      <w:r w:rsidRPr="008820A9" w:rsidR="0005130C">
        <w:t>fagskoletilsynsforskriften § 2</w:t>
      </w:r>
      <w:r w:rsidR="00AA2D5C">
        <w:t>-</w:t>
      </w:r>
      <w:r w:rsidRPr="008820A9" w:rsidR="0005130C">
        <w:t>1</w:t>
      </w:r>
      <w:r w:rsidR="00AA2D5C">
        <w:t xml:space="preserve"> og 2-4</w:t>
      </w:r>
      <w:r w:rsidR="0005130C">
        <w:t>)</w:t>
      </w:r>
    </w:p>
    <w:p w:rsidR="00F36BAC" w:rsidP="00813160" w14:paraId="4D8790F7" w14:textId="77777777">
      <w:pPr>
        <w:spacing w:after="120" w:line="276" w:lineRule="auto"/>
        <w:jc w:val="both"/>
      </w:pPr>
      <w:r>
        <w:t xml:space="preserve">Praksisavtaler skal inngås ved utdanninger hvor det kreves praksis. Det er fagskolen sitt ansvar at studentene har en tilfredsstillende praksisplass, av høy kvalitet, med læringsaktiviteter som sikrer studentenes oppnåelse av læringsutbyttet. </w:t>
      </w:r>
    </w:p>
    <w:p w:rsidR="00813160" w:rsidP="00813160" w14:paraId="79E1D338" w14:textId="28FB58BA">
      <w:pPr>
        <w:spacing w:after="120" w:line="276" w:lineRule="auto"/>
        <w:jc w:val="both"/>
      </w:pPr>
      <w:r>
        <w:t>Praksisavtaler skal være skriftlige og inngått mellom fagskolen og praksisstedet. Det skal foreligge intensjonsavtaler for utdanninger som krever praksisplass, før opprettelse av studiet. Eksterne praksisveiledere skal ha kompetanse til å veilede og vurdere studentene i praksis</w:t>
      </w:r>
    </w:p>
    <w:tbl>
      <w:tblPr>
        <w:tblStyle w:val="TableGrid"/>
        <w:tblW w:w="0" w:type="auto"/>
        <w:tblInd w:w="108" w:type="dxa"/>
        <w:tblBorders>
          <w:insideH w:val="none" w:sz="0" w:space="0" w:color="auto"/>
        </w:tblBorders>
        <w:tblLook w:val="04A0"/>
      </w:tblPr>
      <w:tblGrid>
        <w:gridCol w:w="9103"/>
      </w:tblGrid>
      <w:tr w14:paraId="77796442" w14:textId="77777777" w:rsidTr="009241D9">
        <w:tblPrEx>
          <w:tblW w:w="0" w:type="auto"/>
          <w:tblInd w:w="108" w:type="dxa"/>
          <w:tblBorders>
            <w:insideH w:val="none" w:sz="0" w:space="0" w:color="auto"/>
          </w:tblBorders>
          <w:tblLook w:val="04A0"/>
        </w:tblPrEx>
        <w:tc>
          <w:tcPr>
            <w:tcW w:w="9103" w:type="dxa"/>
          </w:tcPr>
          <w:p w:rsidR="00117A5C" w:rsidRPr="00267DAC" w:rsidP="009241D9" w14:paraId="2B9E6AF1" w14:textId="349AD67B">
            <w:pPr>
              <w:spacing w:line="276" w:lineRule="auto"/>
              <w:jc w:val="both"/>
              <w:rPr>
                <w:b/>
                <w:bCs/>
              </w:rPr>
            </w:pPr>
            <w:r>
              <w:rPr>
                <w:b/>
                <w:bCs/>
                <w:sz w:val="16"/>
                <w:szCs w:val="18"/>
              </w:rPr>
              <w:t>Be</w:t>
            </w:r>
            <w:r w:rsidR="00F36BAC">
              <w:rPr>
                <w:b/>
                <w:bCs/>
                <w:sz w:val="16"/>
                <w:szCs w:val="18"/>
              </w:rPr>
              <w:t>skrivelse av forhold knyttet til praksis</w:t>
            </w:r>
            <w:r>
              <w:rPr>
                <w:b/>
                <w:bCs/>
                <w:sz w:val="16"/>
                <w:szCs w:val="18"/>
              </w:rPr>
              <w:t>/praksiskrav</w:t>
            </w:r>
            <w:r w:rsidRPr="00267DAC">
              <w:rPr>
                <w:b/>
                <w:bCs/>
                <w:sz w:val="16"/>
                <w:szCs w:val="18"/>
              </w:rPr>
              <w:t>:</w:t>
            </w:r>
          </w:p>
        </w:tc>
      </w:tr>
      <w:tr w14:paraId="2DBE6160" w14:textId="77777777" w:rsidTr="009241D9">
        <w:tblPrEx>
          <w:tblW w:w="0" w:type="auto"/>
          <w:tblInd w:w="108" w:type="dxa"/>
          <w:tblLook w:val="04A0"/>
        </w:tblPrEx>
        <w:tc>
          <w:tcPr>
            <w:tcW w:w="9103" w:type="dxa"/>
          </w:tcPr>
          <w:p w:rsidR="00117A5C" w:rsidRPr="008C3E23" w:rsidP="009241D9" w14:paraId="07082779" w14:textId="77777777">
            <w:pPr>
              <w:spacing w:after="120" w:line="276" w:lineRule="auto"/>
              <w:jc w:val="both"/>
              <w:rPr>
                <w:i/>
                <w:iCs/>
              </w:rPr>
            </w:pPr>
          </w:p>
          <w:p w:rsidR="00117A5C" w:rsidRPr="008C3E23" w:rsidP="009241D9" w14:paraId="5EDF0B39" w14:textId="77777777">
            <w:pPr>
              <w:spacing w:after="120" w:line="276" w:lineRule="auto"/>
              <w:jc w:val="both"/>
              <w:rPr>
                <w:i/>
                <w:iCs/>
              </w:rPr>
            </w:pPr>
          </w:p>
        </w:tc>
      </w:tr>
    </w:tbl>
    <w:p w:rsidR="00813160" w:rsidP="00813160" w14:paraId="279C53A4" w14:textId="77777777">
      <w:pPr>
        <w:spacing w:after="120" w:line="276" w:lineRule="auto"/>
        <w:jc w:val="both"/>
      </w:pPr>
    </w:p>
    <w:p w:rsidR="00813160" w:rsidRPr="008820A9" w:rsidP="005877CE" w14:paraId="5E1C551F" w14:textId="61C21CD6">
      <w:pPr>
        <w:numPr>
          <w:ilvl w:val="1"/>
          <w:numId w:val="10"/>
        </w:numPr>
        <w:spacing w:after="120" w:line="276" w:lineRule="auto"/>
        <w:ind w:left="567" w:hanging="437"/>
        <w:jc w:val="both"/>
        <w:rPr>
          <w:b/>
          <w:bCs/>
        </w:rPr>
      </w:pPr>
      <w:r>
        <w:rPr>
          <w:b/>
          <w:bCs/>
        </w:rPr>
        <w:t>Samarbeid med yrkesfeltet</w:t>
      </w:r>
      <w:r w:rsidRPr="008820A9">
        <w:rPr>
          <w:b/>
          <w:bCs/>
        </w:rPr>
        <w:t xml:space="preserve"> </w:t>
      </w:r>
      <w:r w:rsidRPr="008820A9">
        <w:t>(</w:t>
      </w:r>
      <w:r>
        <w:t xml:space="preserve">jfr. </w:t>
      </w:r>
      <w:r w:rsidRPr="008820A9">
        <w:t xml:space="preserve">fagskoletilsynsforskriften § </w:t>
      </w:r>
      <w:r w:rsidR="00836C09">
        <w:t>3-3</w:t>
      </w:r>
      <w:r>
        <w:t>)</w:t>
      </w:r>
    </w:p>
    <w:p w:rsidR="00813160" w:rsidP="00813160" w14:paraId="727DC5DB" w14:textId="22127707">
      <w:pPr>
        <w:spacing w:after="120" w:line="276" w:lineRule="auto"/>
        <w:jc w:val="both"/>
      </w:pPr>
      <w:r>
        <w:t>I tråd med forutsetningen for å kunne tilby yrkesrettet utdanning, skal fagskolen samarbeide med arbeidslivet for å sikre at utdanningens læringsutbytte er relevant for ett eller flere yrkesfelt.</w:t>
      </w:r>
    </w:p>
    <w:tbl>
      <w:tblPr>
        <w:tblStyle w:val="TableGrid"/>
        <w:tblW w:w="0" w:type="auto"/>
        <w:tblInd w:w="108" w:type="dxa"/>
        <w:tblBorders>
          <w:insideH w:val="none" w:sz="0" w:space="0" w:color="auto"/>
        </w:tblBorders>
        <w:tblLook w:val="04A0"/>
      </w:tblPr>
      <w:tblGrid>
        <w:gridCol w:w="9103"/>
      </w:tblGrid>
      <w:tr w14:paraId="2A18824C" w14:textId="77777777" w:rsidTr="009241D9">
        <w:tblPrEx>
          <w:tblW w:w="0" w:type="auto"/>
          <w:tblInd w:w="108" w:type="dxa"/>
          <w:tblBorders>
            <w:insideH w:val="none" w:sz="0" w:space="0" w:color="auto"/>
          </w:tblBorders>
          <w:tblLook w:val="04A0"/>
        </w:tblPrEx>
        <w:tc>
          <w:tcPr>
            <w:tcW w:w="9103" w:type="dxa"/>
          </w:tcPr>
          <w:p w:rsidR="00117A5C" w:rsidRPr="00267DAC" w:rsidP="009241D9" w14:paraId="35697775" w14:textId="338F789A">
            <w:pPr>
              <w:spacing w:line="276" w:lineRule="auto"/>
              <w:jc w:val="both"/>
              <w:rPr>
                <w:b/>
                <w:bCs/>
              </w:rPr>
            </w:pPr>
            <w:r>
              <w:rPr>
                <w:b/>
                <w:bCs/>
                <w:sz w:val="16"/>
                <w:szCs w:val="18"/>
              </w:rPr>
              <w:t>Beskrivelse av samarbeid og samarbeidsformer</w:t>
            </w:r>
            <w:r w:rsidRPr="00267DAC">
              <w:rPr>
                <w:b/>
                <w:bCs/>
                <w:sz w:val="16"/>
                <w:szCs w:val="18"/>
              </w:rPr>
              <w:t>:</w:t>
            </w:r>
          </w:p>
        </w:tc>
      </w:tr>
      <w:tr w14:paraId="0C7FF520" w14:textId="77777777" w:rsidTr="009241D9">
        <w:tblPrEx>
          <w:tblW w:w="0" w:type="auto"/>
          <w:tblInd w:w="108" w:type="dxa"/>
          <w:tblLook w:val="04A0"/>
        </w:tblPrEx>
        <w:tc>
          <w:tcPr>
            <w:tcW w:w="9103" w:type="dxa"/>
          </w:tcPr>
          <w:p w:rsidR="00117A5C" w:rsidRPr="008C3E23" w:rsidP="009241D9" w14:paraId="094B5955" w14:textId="77777777">
            <w:pPr>
              <w:spacing w:after="120" w:line="276" w:lineRule="auto"/>
              <w:jc w:val="both"/>
              <w:rPr>
                <w:i/>
                <w:iCs/>
              </w:rPr>
            </w:pPr>
          </w:p>
          <w:p w:rsidR="00117A5C" w:rsidRPr="008C3E23" w:rsidP="009241D9" w14:paraId="2AAEBC71" w14:textId="77777777">
            <w:pPr>
              <w:spacing w:after="120" w:line="276" w:lineRule="auto"/>
              <w:jc w:val="both"/>
              <w:rPr>
                <w:i/>
                <w:iCs/>
              </w:rPr>
            </w:pPr>
          </w:p>
        </w:tc>
      </w:tr>
    </w:tbl>
    <w:p w:rsidR="00813160" w:rsidP="00813160" w14:paraId="301097F2" w14:textId="77777777">
      <w:pPr>
        <w:spacing w:after="120" w:line="276" w:lineRule="auto"/>
        <w:jc w:val="both"/>
      </w:pPr>
    </w:p>
    <w:p w:rsidR="00813160" w:rsidRPr="008820A9" w:rsidP="005877CE" w14:paraId="5F9A8BE6" w14:textId="585F8C6D">
      <w:pPr>
        <w:numPr>
          <w:ilvl w:val="1"/>
          <w:numId w:val="10"/>
        </w:numPr>
        <w:spacing w:after="120" w:line="276" w:lineRule="auto"/>
        <w:ind w:left="567" w:hanging="437"/>
        <w:jc w:val="both"/>
        <w:rPr>
          <w:b/>
          <w:bCs/>
        </w:rPr>
      </w:pPr>
      <w:r>
        <w:rPr>
          <w:b/>
          <w:bCs/>
        </w:rPr>
        <w:t>Administrasjon og infrastruktur</w:t>
      </w:r>
      <w:r w:rsidRPr="008820A9">
        <w:rPr>
          <w:b/>
          <w:bCs/>
        </w:rPr>
        <w:t xml:space="preserve"> </w:t>
      </w:r>
      <w:r w:rsidRPr="008820A9">
        <w:t>(</w:t>
      </w:r>
      <w:r>
        <w:t xml:space="preserve">jfr. </w:t>
      </w:r>
      <w:r w:rsidRPr="008820A9">
        <w:t>fagskoletilsynsforskriften § 2</w:t>
      </w:r>
      <w:r w:rsidR="00836C09">
        <w:t>-6</w:t>
      </w:r>
      <w:r>
        <w:t>)</w:t>
      </w:r>
    </w:p>
    <w:p w:rsidR="00813160" w:rsidP="00813160" w14:paraId="67D183D3" w14:textId="7F0A1190">
      <w:pPr>
        <w:spacing w:after="120" w:line="276" w:lineRule="auto"/>
        <w:jc w:val="both"/>
      </w:pPr>
      <w:r>
        <w:t>For at utdanninger skal ha høy kvalitet, kreves det at fagskolen skal ha administrative ressurser som er tilpasset utdanningen, samt lokaler, utstyr og annen infrastruktur tilpasset behovene i utdanningen. Dersom utdanningen krever utstyr fagskolen selv ikke besitter, kan avtaler inngås for leie av utstyr hos samarbeidspartnere og/eller andre.</w:t>
      </w:r>
    </w:p>
    <w:tbl>
      <w:tblPr>
        <w:tblStyle w:val="TableGrid"/>
        <w:tblW w:w="0" w:type="auto"/>
        <w:tblInd w:w="108" w:type="dxa"/>
        <w:tblBorders>
          <w:insideH w:val="none" w:sz="0" w:space="0" w:color="auto"/>
        </w:tblBorders>
        <w:tblLook w:val="04A0"/>
      </w:tblPr>
      <w:tblGrid>
        <w:gridCol w:w="9103"/>
      </w:tblGrid>
      <w:tr w14:paraId="1B4DE640" w14:textId="77777777" w:rsidTr="009241D9">
        <w:tblPrEx>
          <w:tblW w:w="0" w:type="auto"/>
          <w:tblInd w:w="108" w:type="dxa"/>
          <w:tblBorders>
            <w:insideH w:val="none" w:sz="0" w:space="0" w:color="auto"/>
          </w:tblBorders>
          <w:tblLook w:val="04A0"/>
        </w:tblPrEx>
        <w:tc>
          <w:tcPr>
            <w:tcW w:w="9103" w:type="dxa"/>
          </w:tcPr>
          <w:p w:rsidR="00117A5C" w:rsidRPr="00267DAC" w:rsidP="009241D9" w14:paraId="23EB7756" w14:textId="6AF8B315">
            <w:pPr>
              <w:spacing w:line="276" w:lineRule="auto"/>
              <w:jc w:val="both"/>
              <w:rPr>
                <w:b/>
                <w:bCs/>
              </w:rPr>
            </w:pPr>
            <w:r>
              <w:rPr>
                <w:b/>
                <w:bCs/>
                <w:sz w:val="16"/>
                <w:szCs w:val="18"/>
              </w:rPr>
              <w:t>Beskrivelse av forhold knyttet til administrasjon og infrastruktur</w:t>
            </w:r>
            <w:r w:rsidRPr="00267DAC">
              <w:rPr>
                <w:b/>
                <w:bCs/>
                <w:sz w:val="16"/>
                <w:szCs w:val="18"/>
              </w:rPr>
              <w:t>:</w:t>
            </w:r>
          </w:p>
        </w:tc>
      </w:tr>
      <w:tr w14:paraId="2CDFEBC1" w14:textId="77777777" w:rsidTr="009241D9">
        <w:tblPrEx>
          <w:tblW w:w="0" w:type="auto"/>
          <w:tblInd w:w="108" w:type="dxa"/>
          <w:tblLook w:val="04A0"/>
        </w:tblPrEx>
        <w:tc>
          <w:tcPr>
            <w:tcW w:w="9103" w:type="dxa"/>
          </w:tcPr>
          <w:p w:rsidR="00117A5C" w:rsidRPr="008C3E23" w:rsidP="009241D9" w14:paraId="1686EE15" w14:textId="77777777">
            <w:pPr>
              <w:spacing w:after="120" w:line="276" w:lineRule="auto"/>
              <w:jc w:val="both"/>
              <w:rPr>
                <w:i/>
                <w:iCs/>
              </w:rPr>
            </w:pPr>
          </w:p>
          <w:p w:rsidR="00117A5C" w:rsidRPr="008C3E23" w:rsidP="009241D9" w14:paraId="51686462" w14:textId="77777777">
            <w:pPr>
              <w:spacing w:after="120" w:line="276" w:lineRule="auto"/>
              <w:jc w:val="both"/>
              <w:rPr>
                <w:i/>
                <w:iCs/>
              </w:rPr>
            </w:pPr>
          </w:p>
        </w:tc>
      </w:tr>
    </w:tbl>
    <w:p w:rsidR="00B86626" w:rsidRPr="009F7EB5" w:rsidP="00232EFB" w14:paraId="1ED6C585" w14:textId="1BC82179">
      <w:pPr>
        <w:pStyle w:val="Heading1"/>
        <w:numPr>
          <w:ilvl w:val="0"/>
          <w:numId w:val="3"/>
        </w:numPr>
        <w:spacing w:after="120" w:line="276" w:lineRule="auto"/>
        <w:ind w:left="426"/>
        <w:jc w:val="both"/>
      </w:pPr>
      <w:r w:rsidRPr="009F7EB5">
        <w:t>Referanser</w:t>
      </w:r>
    </w:p>
    <w:p w:rsidR="00A42B73" w:rsidP="00232EFB" w14:paraId="67FECD11" w14:textId="77777777">
      <w:pPr>
        <w:spacing w:after="120" w:line="276" w:lineRule="auto"/>
        <w:ind w:left="426"/>
        <w:jc w:val="both"/>
      </w:pPr>
      <w:r w:rsidRPr="00F9677E">
        <w:rPr>
          <w:i/>
          <w:iCs/>
        </w:rPr>
        <w:t>Kryssreferanser</w:t>
      </w:r>
      <w:r>
        <w:t xml:space="preserve"> henviser til dokumenter som finnes i THYFs ledelsessystem. </w:t>
      </w:r>
      <w:r w:rsidRPr="00F65CB0">
        <w:rPr>
          <w:i/>
          <w:iCs/>
        </w:rPr>
        <w:t>Eksterne referanser</w:t>
      </w:r>
      <w:r>
        <w:t xml:space="preserve"> henviser til dokumenter som ligger tilgjengelig utenfor ledelsessystemet.</w:t>
      </w:r>
    </w:p>
    <w:p w:rsidR="009F7EB5" w:rsidRPr="005877CE" w:rsidP="005877CE" w14:paraId="259E6A4C" w14:textId="5D8E64E8">
      <w:pPr>
        <w:spacing w:after="120" w:line="276" w:lineRule="auto"/>
        <w:ind w:left="426"/>
        <w:jc w:val="both"/>
      </w:pPr>
      <w:r>
        <w:t>Referanse</w:t>
      </w:r>
      <w:r w:rsidR="00F26C4C">
        <w:t>r</w:t>
      </w:r>
      <w:r>
        <w:t xml:space="preserve"> utgjør viktige systemforbindelser til relaterte dokumenter, skjema, prosessflytdiagram</w:t>
      </w:r>
      <w:r w:rsidR="00F26C4C">
        <w:t>, nettsteder,</w:t>
      </w:r>
      <w:r>
        <w:t xml:space="preserve"> eller annen relevant informasjon</w:t>
      </w:r>
      <w:r w:rsidR="00F26C4C">
        <w:t xml:space="preserve"> som for eksempel lover, forskrifter og standarder</w:t>
      </w:r>
      <w:r>
        <w:t>.</w:t>
      </w:r>
    </w:p>
    <w:p w:rsidR="001C0FFA" w:rsidRPr="007D26B5" w:rsidP="005877CE" w14:paraId="02699B6D" w14:textId="77777777">
      <w:pPr>
        <w:pStyle w:val="Heading2"/>
        <w:numPr>
          <w:ilvl w:val="0"/>
          <w:numId w:val="6"/>
        </w:numPr>
        <w:ind w:left="567" w:hanging="491"/>
      </w:pPr>
      <w:r w:rsidRPr="007D26B5">
        <w:t>Kryssreferanser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tcPr>
          <w:p w:rsidP="005877CE">
            <w:pPr>
              <w:numPr>
                <w:ilvl w:val="0"/>
                <w:numId w:val="0"/>
              </w:numPr>
              <w:ind w:left="567" w:hanging="491"/>
              <w:rPr>
                <w:b w:val="0"/>
                <w:color w:val="0000FF"/>
                <w:u w:val="single"/>
              </w:rPr>
            </w:pPr>
            <w:bookmarkStart w:id="3" w:name="EK_Referanse"/>
            <w:hyperlink r:id="rId6" w:history="1">
              <w:r>
                <w:rPr>
                  <w:b w:val="0"/>
                  <w:color w:val="0000FF"/>
                  <w:u w:val="single"/>
                </w:rPr>
                <w:t>3.7.16</w:t>
              </w:r>
            </w:hyperlink>
          </w:p>
        </w:tc>
        <w:tc>
          <w:tcPr>
            <w:tcW w:w="3750" w:type="pct"/>
            <w:tcBorders>
              <w:top w:val="nil"/>
              <w:left w:val="nil"/>
              <w:bottom w:val="nil"/>
              <w:right w:val="nil"/>
            </w:tcBorders>
          </w:tcPr>
          <w:p w:rsidP="005877CE">
            <w:pPr>
              <w:numPr>
                <w:ilvl w:val="0"/>
                <w:numId w:val="0"/>
              </w:numPr>
              <w:ind w:left="567" w:hanging="491"/>
              <w:rPr>
                <w:b w:val="0"/>
                <w:color w:val="0000FF"/>
                <w:u w:val="single"/>
              </w:rPr>
            </w:pPr>
            <w:hyperlink r:id="rId6" w:history="1">
              <w:r>
                <w:rPr>
                  <w:b w:val="0"/>
                  <w:color w:val="0000FF"/>
                  <w:u w:val="single"/>
                </w:rPr>
                <w:t xml:space="preserve">Prosessbeskrivelse  for nye utdanninger og vesentlige endringer ved akkrediterte fagområder  </w:t>
              </w:r>
            </w:hyperlink>
          </w:p>
        </w:tc>
      </w:tr>
    </w:tbl>
    <w:p w:rsidR="001C0FFA" w:rsidRPr="00CF0617" w:rsidP="005877CE" w14:paraId="02699B72" w14:textId="3BEAEFDC">
      <w:pPr>
        <w:pStyle w:val="Heading2"/>
        <w:numPr>
          <w:ilvl w:val="0"/>
          <w:numId w:val="6"/>
        </w:numPr>
        <w:ind w:left="567" w:hanging="491"/>
      </w:pPr>
      <w:bookmarkEnd w:id="3"/>
      <w:r w:rsidRPr="00CF0617">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bookmarkStart w:id="4" w:name="EK_EksRef"/>
            <w:hyperlink r:id="rId7" w:history="1">
              <w:r>
                <w:rPr>
                  <w:b w:val="0"/>
                  <w:color w:val="0000FF"/>
                  <w:u w:val="single"/>
                </w:rPr>
                <w:t>.18.1.1 LOV-2018-06-08-28 Lov om høyere yrkesfaglig utdanning (fagskoleloven)</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8" w:history="1">
              <w:r>
                <w:rPr>
                  <w:b w:val="0"/>
                  <w:color w:val="0000FF"/>
                  <w:u w:val="single"/>
                </w:rPr>
                <w:t>.18.1.2 FOR-2019-07-11-1005 Forskrift om høyere yrkesfaglig utdanning (fagskoleforskriften)</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9" w:history="1">
              <w:r>
                <w:rPr>
                  <w:b w:val="0"/>
                  <w:color w:val="0000FF"/>
                  <w:u w:val="single"/>
                </w:rPr>
                <w:t>.18.1.3 FOR-2021-06-30-2379 Forskrift om høyere yrkesfaglig utdanning ved Trøndelag høyere yrkesfagskole</w:t>
              </w:r>
            </w:hyperlink>
          </w:p>
        </w:tc>
      </w:tr>
      <w:tr>
        <w:tblPrEx>
          <w:tblW w:w="5000" w:type="pct"/>
          <w:tblCellMar>
            <w:left w:w="108" w:type="dxa"/>
            <w:right w:w="108" w:type="dxa"/>
          </w:tblCellMar>
        </w:tblPrEx>
        <w:tc>
          <w:tcPr>
            <w:tcW w:w="3750" w:type="pct"/>
            <w:tcBorders>
              <w:top w:val="nil"/>
              <w:left w:val="nil"/>
              <w:bottom w:val="nil"/>
              <w:right w:val="nil"/>
            </w:tcBorders>
          </w:tcPr>
          <w:p w:rsidP="007D26B5">
            <w:pPr>
              <w:numPr>
                <w:ilvl w:val="0"/>
                <w:numId w:val="0"/>
              </w:numPr>
              <w:ind w:left="284"/>
              <w:rPr>
                <w:b w:val="0"/>
                <w:color w:val="0000FF"/>
                <w:u w:val="single"/>
              </w:rPr>
            </w:pPr>
            <w:hyperlink r:id="rId10" w:history="1">
              <w:r>
                <w:rPr>
                  <w:b w:val="0"/>
                  <w:color w:val="0000FF"/>
                  <w:u w:val="single"/>
                </w:rPr>
                <w:t xml:space="preserve">.18.1.4 FOR-2020-04-23-853 Forskrift om akkreditering av og tilsyn med høyere yrkesfaglig utdanning (fagskoletilsynsforskriften) </w:t>
              </w:r>
            </w:hyperlink>
          </w:p>
        </w:tc>
      </w:tr>
    </w:tbl>
    <w:p w:rsidR="001C0FFA" w:rsidRPr="00CF0617" w:rsidP="007D26B5" w14:paraId="02699B76" w14:textId="77777777">
      <w:pPr>
        <w:ind w:left="284"/>
        <w:rPr>
          <w:szCs w:val="18"/>
        </w:rPr>
      </w:pPr>
      <w:bookmarkEnd w:id="4"/>
    </w:p>
    <w:p w:rsidR="001C0FFA" w:rsidRPr="00CF0617" w14:paraId="02699B77" w14:textId="1DEEDB98">
      <w:pPr>
        <w:rPr>
          <w:szCs w:val="18"/>
        </w:rPr>
      </w:pPr>
    </w:p>
    <w:sectPr>
      <w:headerReference w:type="default" r:id="rId11"/>
      <w:footerReference w:type="first" r:id="rId12"/>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swald">
    <w:altName w:val="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FFA" w14:paraId="02699B83" w14:textId="7247B024">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20.06.2024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14:paraId="02699B7B" w14:textId="77777777">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1C0FFA" w14:paraId="02699B79" w14:textId="77777777">
          <w:pPr>
            <w:spacing w:before="80" w:after="80"/>
            <w:rPr>
              <w:b/>
              <w:lang w:val="de-DE"/>
            </w:rPr>
          </w:pPr>
          <w:r>
            <w:rPr>
              <w:b/>
              <w:color w:val="000080"/>
            </w:rPr>
            <w:fldChar w:fldCharType="begin" w:fldLock="1"/>
          </w:r>
          <w:r>
            <w:rPr>
              <w:b/>
              <w:color w:val="000080"/>
              <w:lang w:val="de-DE"/>
            </w:rPr>
            <w:instrText>DOCPROPERTY EK_doktittel</w:instrText>
          </w:r>
          <w:r>
            <w:rPr>
              <w:b/>
              <w:color w:val="000080"/>
            </w:rPr>
            <w:fldChar w:fldCharType="separate"/>
          </w:r>
          <w:r>
            <w:rPr>
              <w:b/>
              <w:color w:val="000080"/>
              <w:lang w:val="de-DE"/>
            </w:rPr>
            <w:t>Skjema for utfylling av kvalitetsgrunnlag for akkreditering av utdanninger ved akkreditert fagområde</w:t>
          </w:r>
          <w:r>
            <w:rPr>
              <w:b/>
              <w:color w:val="000080"/>
            </w:rPr>
            <w:fldChar w:fldCharType="end"/>
          </w:r>
        </w:p>
      </w:tc>
      <w:tc>
        <w:tcPr>
          <w:tcW w:w="1968" w:type="dxa"/>
          <w:gridSpan w:val="2"/>
          <w:tcBorders>
            <w:bottom w:val="nil"/>
          </w:tcBorders>
        </w:tcPr>
        <w:p w:rsidR="001C0FFA" w14:paraId="02699B7A" w14:textId="77777777">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3.7.17</w:t>
          </w:r>
          <w:r>
            <w:rPr>
              <w:sz w:val="20"/>
            </w:rPr>
            <w:fldChar w:fldCharType="end"/>
          </w:r>
        </w:p>
      </w:tc>
    </w:tr>
    <w:tr w14:paraId="02699B7E" w14:textId="77777777">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1C0FFA" w14:paraId="02699B7C" w14:textId="77777777">
          <w:pPr>
            <w:spacing w:before="80"/>
            <w:rPr>
              <w:sz w:val="20"/>
            </w:rPr>
          </w:pPr>
        </w:p>
      </w:tc>
      <w:tc>
        <w:tcPr>
          <w:tcW w:w="1962" w:type="dxa"/>
          <w:tcBorders>
            <w:left w:val="nil"/>
            <w:bottom w:val="nil"/>
            <w:right w:val="nil"/>
          </w:tcBorders>
        </w:tcPr>
        <w:p w:rsidR="001C0FFA" w14:paraId="02699B7D" w14:textId="613EE68A">
          <w:pPr>
            <w:spacing w:before="80"/>
            <w:jc w:val="right"/>
            <w:rPr>
              <w:sz w:val="20"/>
            </w:rPr>
          </w:pPr>
          <w:r>
            <w:rPr>
              <w:sz w:val="20"/>
            </w:rPr>
            <w:t xml:space="preserve">Side: </w:t>
          </w:r>
          <w:r>
            <w:rPr>
              <w:sz w:val="20"/>
            </w:rPr>
            <w:fldChar w:fldCharType="begin"/>
          </w:r>
          <w:r>
            <w:rPr>
              <w:sz w:val="20"/>
            </w:rPr>
            <w:instrText xml:space="preserve">PAGE </w:instrText>
          </w:r>
          <w:r>
            <w:rPr>
              <w:sz w:val="20"/>
            </w:rPr>
            <w:fldChar w:fldCharType="separate"/>
          </w:r>
          <w:r>
            <w:rPr>
              <w:rFonts w:ascii="Verdana" w:hAnsi="Verdana"/>
              <w:sz w:val="20"/>
              <w:lang w:val="nb-NO" w:eastAsia="nb-NO" w:bidi="ar-SA"/>
            </w:rPr>
            <w:t>4</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4</w:t>
          </w:r>
          <w:r>
            <w:rPr>
              <w:sz w:val="20"/>
            </w:rPr>
            <w:fldChar w:fldCharType="end"/>
          </w:r>
        </w:p>
      </w:tc>
    </w:tr>
  </w:tbl>
  <w:p w:rsidR="001C0FFA" w14:paraId="02699B7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4C399C"/>
    <w:multiLevelType w:val="hybridMultilevel"/>
    <w:tmpl w:val="B85656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D0119F"/>
    <w:multiLevelType w:val="multilevel"/>
    <w:tmpl w:val="355C5E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20174497"/>
    <w:multiLevelType w:val="hybridMultilevel"/>
    <w:tmpl w:val="0C6607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A07B20"/>
    <w:multiLevelType w:val="multilevel"/>
    <w:tmpl w:val="AA504FA6"/>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28D76D42"/>
    <w:multiLevelType w:val="hybridMultilevel"/>
    <w:tmpl w:val="73DC3D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28B1EAD"/>
    <w:multiLevelType w:val="hybridMultilevel"/>
    <w:tmpl w:val="A9D02736"/>
    <w:lvl w:ilvl="0">
      <w:start w:val="1"/>
      <w:numFmt w:val="decimal"/>
      <w:lvlText w:val="6.%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3B5827"/>
    <w:multiLevelType w:val="hybridMultilevel"/>
    <w:tmpl w:val="225C9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7214D64"/>
    <w:multiLevelType w:val="hybridMultilevel"/>
    <w:tmpl w:val="6A247CAC"/>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
    <w:nsid w:val="66EC3449"/>
    <w:multiLevelType w:val="multilevel"/>
    <w:tmpl w:val="031C9E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6D5933C9"/>
    <w:multiLevelType w:val="hybridMultilevel"/>
    <w:tmpl w:val="3C448AAC"/>
    <w:lvl w:ilvl="0">
      <w:start w:val="1"/>
      <w:numFmt w:val="decimal"/>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40489323">
    <w:abstractNumId w:val="4"/>
  </w:num>
  <w:num w:numId="2" w16cid:durableId="1829782046">
    <w:abstractNumId w:val="5"/>
  </w:num>
  <w:num w:numId="3" w16cid:durableId="1572885599">
    <w:abstractNumId w:val="1"/>
  </w:num>
  <w:num w:numId="4" w16cid:durableId="393701951">
    <w:abstractNumId w:val="6"/>
  </w:num>
  <w:num w:numId="5" w16cid:durableId="1510482899">
    <w:abstractNumId w:val="0"/>
  </w:num>
  <w:num w:numId="6" w16cid:durableId="940457103">
    <w:abstractNumId w:val="9"/>
  </w:num>
  <w:num w:numId="7" w16cid:durableId="820921744">
    <w:abstractNumId w:val="7"/>
  </w:num>
  <w:num w:numId="8" w16cid:durableId="851265410">
    <w:abstractNumId w:val="8"/>
  </w:num>
  <w:num w:numId="9" w16cid:durableId="1198471602">
    <w:abstractNumId w:val="2"/>
  </w:num>
  <w:num w:numId="10" w16cid:durableId="204539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C0FFA"/>
    <w:rsid w:val="00015CE9"/>
    <w:rsid w:val="00026AC7"/>
    <w:rsid w:val="000400F7"/>
    <w:rsid w:val="0005130C"/>
    <w:rsid w:val="00052137"/>
    <w:rsid w:val="00064B5B"/>
    <w:rsid w:val="00084EEC"/>
    <w:rsid w:val="000B5524"/>
    <w:rsid w:val="000C68BE"/>
    <w:rsid w:val="000E1DDE"/>
    <w:rsid w:val="000F3BF2"/>
    <w:rsid w:val="001009AC"/>
    <w:rsid w:val="00117159"/>
    <w:rsid w:val="00117A5C"/>
    <w:rsid w:val="001A2ECE"/>
    <w:rsid w:val="001A500E"/>
    <w:rsid w:val="001C0FFA"/>
    <w:rsid w:val="001C3AC6"/>
    <w:rsid w:val="001E047B"/>
    <w:rsid w:val="00232E63"/>
    <w:rsid w:val="00232EFB"/>
    <w:rsid w:val="002646B1"/>
    <w:rsid w:val="00267DAC"/>
    <w:rsid w:val="00280477"/>
    <w:rsid w:val="002C1C0B"/>
    <w:rsid w:val="0033465C"/>
    <w:rsid w:val="003636A5"/>
    <w:rsid w:val="003D4093"/>
    <w:rsid w:val="00415440"/>
    <w:rsid w:val="00454B66"/>
    <w:rsid w:val="00462B8A"/>
    <w:rsid w:val="00473133"/>
    <w:rsid w:val="0047686E"/>
    <w:rsid w:val="004A1508"/>
    <w:rsid w:val="004B6D30"/>
    <w:rsid w:val="004F400D"/>
    <w:rsid w:val="005037FB"/>
    <w:rsid w:val="005443EB"/>
    <w:rsid w:val="00560190"/>
    <w:rsid w:val="005877CE"/>
    <w:rsid w:val="00593ADB"/>
    <w:rsid w:val="005C050F"/>
    <w:rsid w:val="005D217C"/>
    <w:rsid w:val="005D2E5A"/>
    <w:rsid w:val="005F7187"/>
    <w:rsid w:val="006458B4"/>
    <w:rsid w:val="00663F08"/>
    <w:rsid w:val="00665A4D"/>
    <w:rsid w:val="00671862"/>
    <w:rsid w:val="006A18FA"/>
    <w:rsid w:val="006D3269"/>
    <w:rsid w:val="0075102E"/>
    <w:rsid w:val="00752EA8"/>
    <w:rsid w:val="00781062"/>
    <w:rsid w:val="00784455"/>
    <w:rsid w:val="007B5B1E"/>
    <w:rsid w:val="007D26B5"/>
    <w:rsid w:val="00813160"/>
    <w:rsid w:val="00816FE3"/>
    <w:rsid w:val="00827D59"/>
    <w:rsid w:val="00836C09"/>
    <w:rsid w:val="00847556"/>
    <w:rsid w:val="0087577E"/>
    <w:rsid w:val="008820A9"/>
    <w:rsid w:val="00895ABA"/>
    <w:rsid w:val="008A09F7"/>
    <w:rsid w:val="008C3E23"/>
    <w:rsid w:val="00912FEC"/>
    <w:rsid w:val="009241D9"/>
    <w:rsid w:val="0092608E"/>
    <w:rsid w:val="0095797D"/>
    <w:rsid w:val="009F7EB5"/>
    <w:rsid w:val="00A23F22"/>
    <w:rsid w:val="00A42B73"/>
    <w:rsid w:val="00A827C1"/>
    <w:rsid w:val="00A90694"/>
    <w:rsid w:val="00AA2D5C"/>
    <w:rsid w:val="00AC6223"/>
    <w:rsid w:val="00B34821"/>
    <w:rsid w:val="00B3769A"/>
    <w:rsid w:val="00B74E4F"/>
    <w:rsid w:val="00B84574"/>
    <w:rsid w:val="00B86626"/>
    <w:rsid w:val="00B926C6"/>
    <w:rsid w:val="00B95694"/>
    <w:rsid w:val="00BF75FB"/>
    <w:rsid w:val="00C041B2"/>
    <w:rsid w:val="00C41F2A"/>
    <w:rsid w:val="00C65027"/>
    <w:rsid w:val="00C96EAC"/>
    <w:rsid w:val="00CA5639"/>
    <w:rsid w:val="00CC0A69"/>
    <w:rsid w:val="00CC173A"/>
    <w:rsid w:val="00CD5A4D"/>
    <w:rsid w:val="00CF0617"/>
    <w:rsid w:val="00D24256"/>
    <w:rsid w:val="00D252D9"/>
    <w:rsid w:val="00D72127"/>
    <w:rsid w:val="00DC231E"/>
    <w:rsid w:val="00E15701"/>
    <w:rsid w:val="00E23FC9"/>
    <w:rsid w:val="00E26EB7"/>
    <w:rsid w:val="00E34F49"/>
    <w:rsid w:val="00F11839"/>
    <w:rsid w:val="00F26C4C"/>
    <w:rsid w:val="00F36BAC"/>
    <w:rsid w:val="00F65CB0"/>
    <w:rsid w:val="00F9677E"/>
    <w:rsid w:val="00FA5C47"/>
    <w:rsid w:val="00FF57CE"/>
  </w:rsids>
  <w:docVars>
    <w:docVar w:name="Avdeling" w:val="lab_avdeling"/>
    <w:docVar w:name="Avsnitt" w:val="lab_avsnitt"/>
    <w:docVar w:name="Bedriftsnavn" w:val="DEMO - DataKvalitet AS"/>
    <w:docVar w:name="beskyttet" w:val="nei"/>
    <w:docVar w:name="docver" w:val="2.20"/>
    <w:docVar w:name="EksRef" w:val="[EksRef]"/>
    <w:docVar w:name="ek_dbfields" w:val="EK_Avdeling¤2#4¤2#[Avdeling]¤3#EK_Avsnitt¤2#4¤2#[Avsnitt]¤3#EK_Bedriftsnavn¤2#1¤2#TRONDHEIM FAGSKOLE¤3#EK_GjelderFra¤2#0¤2#[GjelderFra]¤3#EK_Opprettet¤2#0¤2#[Opprettet]¤3#EK_Utgitt¤2#0¤2#[Utgitt]¤3#EK_IBrukDato¤2#0¤2#[Endret]¤3#EK_DokumentID¤2#0¤2#[ID]¤3#EK_DokTittel¤2#0¤2#&lt;Ny mal opprettet av JSS&gt;¤3#EK_DokType¤2#0¤2#[DokType]¤3#EK_EksRef¤2#2¤2#EksRef_Layout¤3#EK_Erstatter¤2#0¤2#[Erstatter]¤3#EK_ErstatterD¤2#0¤2#[ErstatterD]¤3#EK_Signatur¤2#0¤2#[Signatur]¤3#EK_Verifisert¤2#0¤2#[Verifisert av]¤3#EK_Hørt¤2#0¤2#[Hørt av]¤3#EK_AuditReview¤2#2¤2#;[Signaturliste];¤3#EK_AuditApprove¤2#2¤2#;[Signaturliste];¤3#EK_Gradering¤2#0¤2#[Gradering]¤3#EK_Gradnr¤2#4¤2#[Gradnr]¤3#EK_Kapittel¤2#4¤2#[Kapittel]¤3#EK_Referanse¤2#2¤2#Ref_Layout¤3#EK_RefNr¤2#0¤2#[RefNr]¤3#EK_Revisjon¤2#0¤2#[Rev]¤3#EK_Ansvarlig¤2#0¤2#[EK-Ansvarlig]¤3#EK_SkrevetAv¤2#0¤2#[Forfatter]¤3#EK_UText1¤2#0¤2#[UText1]¤3#EK_UText2¤2#0¤2#[UText2]¤3#EK_UText3¤2#0¤2#[UText3]¤3#EK_UText4¤2#0¤2#[UText4]¤3#EK_Status¤2#0¤2#[Status]¤3#EK_Stikkord¤2#0¤2#[Stikkord]¤3#EK_Rapport¤2#3¤2#[Tilknyttet rapport]¤3#EK_EKPrintMerke¤2#0¤2#Uoffisiell utskrift er kun gyldig på utskriftsdato¤3#EK_Watermark¤2#0¤2#Vannmerke¤3#EK_Utgave¤2#0¤2#[Ver]¤3#EK_Merknad¤2#7¤2#[Merknad]¤3#EK_VerLogg¤2#2¤2#[Versjonslogg]¤3#EK_RF1¤2#4¤2#[RF1]¤3#EK_RF2¤2#4¤2#[RF2]¤3#EK_RF3¤2#4¤2#[RF3]¤3#EK_RF4¤2#4¤2#[RF4]¤3#EK_RF5¤2#4¤2#[RF5]¤3#EK_RF6¤2#4¤2#[RF6]¤3#EK_RF7¤2#4¤2#[RF7]¤3#EK_RF8¤2#4¤2#[RF8]¤3#EK_RF9¤2#4¤2#[RF9]¤3#EK_Mappe1¤2#4¤2#[Mappe1]¤3#EK_Mappe2¤2#4¤2#[Mappe2]¤3#EK_Mappe3¤2#4¤2#[Mappe3]¤3#EK_Mappe4¤2#4¤2#[Mappe4]¤3#EK_Mappe5¤2#4¤2#[Mappe5]¤3#EK_Mappe6¤2#4¤2#[Mappe6]¤3#EK_Mappe7¤2#4¤2#[Mappe7]¤3#EK_Mappe8¤2#4¤2#[Mappe8]¤3#EK_Mappe9¤2#4¤2#[Mappe9]¤3#EK_DL¤2#0¤2#[dl]¤3#EK_GjelderTil¤2#0¤2#[GyldigTil]¤3#EK_Vedlegg¤2#2¤2#Ref_Layout¤3#EK_AvdelingOver¤2#4¤2#[AvdelingOver]¤3#EK_HRefNr¤2#0¤2#[HRefnr]¤3#EK_HbNavn¤2#0¤2#[HbNavn]¤3#EK_DokRefnr¤2#4¤2#¤3#EK_Dokendrdato¤2#4¤2#¤3#EK_HbType¤2#4¤2#¤3#EK_Offisiell¤2#4¤2#¤3#EK_VedleggRef¤2#4¤2#¤3#EK_Strukt00¤2#5¤2#[Strukturfelt]¤3#EK_Strukt01¤2#5¤2#[Strukturfelt]¤3#EK_Pub¤2#6¤2#¤3#EKR_DokType¤2#0¤2#[ResType]¤3#EKR_Doktittel¤2#0¤2#[ResTittel]¤3#EKR_DokumentID¤2#0¤2#[ResId]¤3#EKR_RefNr¤2#0¤2#[ResRefNr]¤3#EKR_Gradering¤2#0¤2#[ResGrad]¤3#EKR_Signatur¤2#0¤2#[ResSign]¤3#EKR_Verifisert¤2#0¤2#[Verifisert av]¤3#EKR_Hørt¤2#0¤2#[Hørt av]¤3#EKR_Dokeier¤2#0¤2#[ResEier]¤3#EKR_Status¤2#0¤2#[ResStat]¤3#EKR_Opprettet¤2#0¤2#[ResOppr]¤3#EKR_Endret¤2#0¤2#[ResEndret]¤3#EKR_Ibruk¤2#0¤2#[ResIBruk]¤3#EKR_Rapport¤2#3¤2#[Tilknyttet rapport]¤3#EKR_Utgitt¤2#0¤2#[ResUtfylt]¤3#EKR_SkrevetAv¤2#0¤2#[Utfylt av]¤3#EKR_UText1¤2#0¤2#[RESUText1]¤3#EKR_UText2¤2#0¤2#[RESUText2]¤3#EKR_UText3¤2#0¤2#[RESUText3]¤3#EKR_UText4¤2#0¤2#[RESUText4]¤3#EKR_DokRefnr¤2#4¤2#¤3#EKR_Gradnr¤2#4¤2#¤3#EKR_Strukt00¤2#5¤2#[ ]¤3#"/>
    <w:docVar w:name="ek_doktittel" w:val="&lt;Ny mal opprettet av JSS&gt;"/>
    <w:docVar w:name="ek_endrfields" w:val="EK_DokTittel¤1#EK_Rapport¤1#"/>
    <w:docVar w:name="ek_format" w:val="-2"/>
    <w:docVar w:name="ek_rapport" w:val="[Tilknyttet rapport]"/>
    <w:docVar w:name="EK_TYPE" w:val="MAL"/>
    <w:docVar w:name="Erstatter" w:val="lab_erstatter"/>
    <w:docVar w:name="KHB" w:val="nei"/>
    <w:docVar w:name="skitten" w:val="0"/>
    <w:docVar w:name="Tittel" w:val="Dette er en Test tittel."/>
  </w:docVars>
  <m:mathPr>
    <m:mathFont m:val="Cambria Math"/>
    <m:wrapRight/>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02699B57"/>
  <w15:docId w15:val="{9FBB40AC-0603-4F54-B465-40540C7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73133"/>
    <w:rPr>
      <w:rFonts w:ascii="Verdana" w:hAnsi="Verdana"/>
      <w:sz w:val="18"/>
    </w:rPr>
  </w:style>
  <w:style w:type="paragraph" w:styleId="Heading1">
    <w:name w:val="heading 1"/>
    <w:basedOn w:val="Normal"/>
    <w:next w:val="Normal"/>
    <w:qFormat/>
    <w:rsid w:val="000E1DDE"/>
    <w:pPr>
      <w:spacing w:before="360"/>
      <w:outlineLvl w:val="0"/>
    </w:pPr>
    <w:rPr>
      <w:b/>
      <w:sz w:val="22"/>
    </w:rPr>
  </w:style>
  <w:style w:type="paragraph" w:styleId="Heading2">
    <w:name w:val="heading 2"/>
    <w:basedOn w:val="Normal"/>
    <w:next w:val="Normal"/>
    <w:qFormat/>
    <w:rsid w:val="007D26B5"/>
    <w:pPr>
      <w:spacing w:before="240" w:after="120"/>
      <w:outlineLvl w:val="1"/>
    </w:pPr>
    <w:rPr>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86626"/>
    <w:pPr>
      <w:ind w:left="708"/>
    </w:pPr>
  </w:style>
  <w:style w:type="character" w:styleId="Hyperlink">
    <w:name w:val="Hyperlink"/>
    <w:basedOn w:val="DefaultParagraphFont"/>
    <w:rsid w:val="006D3269"/>
    <w:rPr>
      <w:color w:val="0000FF" w:themeColor="hyperlink"/>
      <w:u w:val="single"/>
    </w:rPr>
  </w:style>
  <w:style w:type="table" w:styleId="TableGrid">
    <w:name w:val="Table Grid"/>
    <w:basedOn w:val="TableNormal"/>
    <w:rsid w:val="0026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vdata.no/dokument/SF/forskrift/2020-04-23-853/"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thyf-ekstern.dkhosting.no/docs/pub/DOK00289.pdf" TargetMode="External" /><Relationship Id="rId7" Type="http://schemas.openxmlformats.org/officeDocument/2006/relationships/hyperlink" Target="https://lovdata.no/dokument/NL/lov/2018-06-08-28" TargetMode="External" /><Relationship Id="rId8" Type="http://schemas.openxmlformats.org/officeDocument/2006/relationships/hyperlink" Target="https://lovdata.no/forskrift/2019-07-11-1005" TargetMode="External" /><Relationship Id="rId9" Type="http://schemas.openxmlformats.org/officeDocument/2006/relationships/hyperlink" Target="https://lovdata.no/dokument/SF/forskrift/2021-06-30-2379?q=forskrift%20om%20h%C3%B8yere%20yrkesfaglig%20utdannin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NMI\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A37BDB-0337-488D-B5D3-49CC4C3AB03A}">
  <we:reference id="wa200003024" version="3.0.0.0" store="nb-NO" storeType="omex"/>
  <we:alternateReferences>
    <we:reference id="WA200003024" version="3.0.0.0" store=""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78EC-4EFC-429E-B352-7CA79246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544</TotalTime>
  <Pages>4</Pages>
  <Words>1649</Words>
  <Characters>8741</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RAPPORT: Kvalitetsgrunnlag for nye utdanninger og vesentlige endringer av utdanning.</vt:lpstr>
      <vt:lpstr>	</vt:lpstr>
    </vt:vector>
  </TitlesOfParts>
  <Company>Datakvalitet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for utfylling av kvalitetsgrunnlag for akkreditering av utdanninger ved akkreditert fagområde</dc:title>
  <dc:subject>&lt;Ny mal opprettet av JSS&gt;|[RefNr]|</dc:subject>
  <dc:creator>Handbok</dc:creator>
  <dc:description>EK_Avdeling4[Avdeling]EK_Avsnitt4[Avsnitt]EK_Bedriftsnavn1TRONDHEIM FAGSKOLEEK_GjelderFra0[GjelderFra]EK_Opprettet0[Opprettet]EK_Utgitt0[Utgitt]EK_IBrukDato0[Endret]EK_DokumentID0[ID]EK_DokTittel0&lt;Ny mal opprettet av JSS&gt;EK_DokType0[DokType]EK_EksRef2EksRef_LayoutEK_Erstatter0[Erstatter]EK_ErstatterD0[ErstatterD]EK_Signatur0[Signatur]EK_Verifisert0[Verifisert av]EK_Hørt0[Hørt av]EK_AuditReview2;[Signaturliste];EK_AuditApprove2;[Signaturliste];EK_Gradering0[Gradering]EK_Gradnr4[Gradnr]EK_Kapittel4[Kapittel]EK_Referanse2Ref_LayoutEK_RefNr0[RefNr]EK_Revisjon0[Rev]EK_Ansvarlig0[EK-Ansvarlig]EK_SkrevetAv0[Forfatter]EK_UText10[UText1]EK_UText20[UText2]EK_UText30[UText3]EK_UText40[UText4]EK_Status0[Status]EK_Stikkord0[Stikkord]EK_Rapport3[Tilknyttet rapport]EK_EKPrintMerke0Uoffisiell utskrift er kun gyldig på utskriftsdatoEK_Watermark0VannmerkeEK_Utgave0[Ver]EK_Merknad7[Merknad]EK_VerLogg2[Versjonslogg]EK_RF14[RF1]EK_RF24[RF2]EK_RF34[RF3]EK_RF44[RF4]EK_RF54[RF5]EK_RF64[RF6]EK_RF74[RF7]EK_RF84[RF8]EK_RF94[RF9]EK_Mappe14[Mappe1]EK_Mappe24[Mappe2]EK_Mappe34[Mappe3]EK_Mappe44[Mappe4]EK_Mappe54[Mappe5]EK_Mappe64[Mappe6]EK_Mappe74[Mappe7]EK_Mappe84[Mappe8]EK_Mappe94[Mappe9]EK_DL0[dl]EK_GjelderTil0[GyldigTil]EK_Vedlegg2Ref_LayoutEK_AvdelingOver4[AvdelingOver]EK_HRefNr0[HRefnr]EK_HbNavn0[HbNavn]EK_DokRefnr4EK_Dokendrdato4EK_HbType4EK_Offisiell4EK_VedleggRef4EK_Strukt005[Strukturfelt]EK_Strukt015[Strukturfelt]EK_Pub6EKR_DokType0[ResType]EKR_Doktittel0[ResTittel]EKR_DokumentID0[ResId]EKR_RefNr0[ResRefNr]EKR_Gradering0[ResGrad]EKR_Signatur0[ResSign]EKR_Verifisert0[Verifisert av]EKR_Hørt0[Hørt av]EKR_Dokeier0[ResEier]EKR_Status0[ResStat]EKR_Opprettet0[ResOppr]EKR_Endret0[ResEndret]EKR_Ibruk0[ResIBruk]EKR_Rapport3[Tilknyttet rapport]EKR_Utgitt0[ResUtfylt]EKR_SkrevetAv0[Utfylt av]EKR_UText10[RESUText1]EKR_UText20[RESUText2]EKR_UText30[RESUText3]EKR_UText40[RESUText4]EKR_DokRefnr4EKR_Gradnr4EKR_Strukt005[ ]</dc:description>
  <cp:lastModifiedBy>Hans Tore Mikkelsen</cp:lastModifiedBy>
  <cp:revision>27</cp:revision>
  <cp:lastPrinted>2024-04-29T13:04:00Z</cp:lastPrinted>
  <dcterms:created xsi:type="dcterms:W3CDTF">2020-01-20T07:07:00Z</dcterms:created>
  <dcterms:modified xsi:type="dcterms:W3CDTF">2024-06-18T11:39:00Z</dcterms:modified>
  <cp:category>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r_doktype">
    <vt:lpwstr>[Dokumenttype]</vt:lpwstr>
  </property>
  <property fmtid="{D5CDD505-2E9C-101B-9397-08002B2CF9AE}" pid="3" name="EK_Bedriftsnavn">
    <vt:lpwstr>TRØNDELAG HØYERE YRKESFAGSKOLE avd. TRONDHEIM</vt:lpwstr>
  </property>
  <property fmtid="{D5CDD505-2E9C-101B-9397-08002B2CF9AE}" pid="4" name="EK_DokTittel">
    <vt:lpwstr>Skjema for utfylling av kvalitetsgrunnlag for akkreditering av utdanninger ved akkreditert fagområde</vt:lpwstr>
  </property>
  <property fmtid="{D5CDD505-2E9C-101B-9397-08002B2CF9AE}" pid="5" name="EK_DokType">
    <vt:lpwstr>MTP</vt:lpwstr>
  </property>
  <property fmtid="{D5CDD505-2E9C-101B-9397-08002B2CF9AE}" pid="6" name="EK_EKPrintMerke">
    <vt:lpwstr>Uoffisiell utskrift er kun gyldig på utskriftsdato</vt:lpwstr>
  </property>
  <property fmtid="{D5CDD505-2E9C-101B-9397-08002B2CF9AE}" pid="7" name="EK_GjelderFra">
    <vt:lpwstr>[]</vt:lpwstr>
  </property>
  <property fmtid="{D5CDD505-2E9C-101B-9397-08002B2CF9AE}" pid="8" name="EK_GjelderTil">
    <vt:lpwstr>[]</vt:lpwstr>
  </property>
  <property fmtid="{D5CDD505-2E9C-101B-9397-08002B2CF9AE}" pid="9" name="EK_RefNr">
    <vt:lpwstr>3.7.17</vt:lpwstr>
  </property>
  <property fmtid="{D5CDD505-2E9C-101B-9397-08002B2CF9AE}" pid="10" name="EK_Signatur">
    <vt:lpwstr>Ikke styrt</vt:lpwstr>
  </property>
  <property fmtid="{D5CDD505-2E9C-101B-9397-08002B2CF9AE}" pid="11" name="EK_SkrevetAv">
    <vt:lpwstr>Hans Tore Mikkelsen</vt:lpwstr>
  </property>
  <property fmtid="{D5CDD505-2E9C-101B-9397-08002B2CF9AE}" pid="12" name="EK_Utgave">
    <vt:lpwstr>0.09</vt:lpwstr>
  </property>
  <property fmtid="{D5CDD505-2E9C-101B-9397-08002B2CF9AE}" pid="13" name="EK_Watermark">
    <vt:lpwstr>[Vannmerke]</vt:lpwstr>
  </property>
  <property fmtid="{D5CDD505-2E9C-101B-9397-08002B2CF9AE}" pid="14" name="XD00289">
    <vt:lpwstr>3.7.16</vt:lpwstr>
  </property>
  <property fmtid="{D5CDD505-2E9C-101B-9397-08002B2CF9AE}" pid="15" name="XDF00289">
    <vt:lpwstr>Prosessbeskrivelse  for nye utdanninger og vesentlige endringer ved akkrediterte fagområder  </vt:lpwstr>
  </property>
  <property fmtid="{D5CDD505-2E9C-101B-9397-08002B2CF9AE}" pid="16" name="XDL00289">
    <vt:lpwstr>3.7.16 Prosessbeskrivelse  for nye utdanninger og vesentlige endringer ved akkrediterte fagområder  </vt:lpwstr>
  </property>
  <property fmtid="{D5CDD505-2E9C-101B-9397-08002B2CF9AE}" pid="17" name="XDT00289">
    <vt:lpwstr>Prosessbeskrivelse  for nye utdanninger og vesentlige endringer ved akkrediterte fagområder  </vt:lpwstr>
  </property>
  <property fmtid="{D5CDD505-2E9C-101B-9397-08002B2CF9AE}" pid="18" name="XR00161">
    <vt:lpwstr>.18.1.1</vt:lpwstr>
  </property>
  <property fmtid="{D5CDD505-2E9C-101B-9397-08002B2CF9AE}" pid="19" name="XR00162">
    <vt:lpwstr>.18.1.2</vt:lpwstr>
  </property>
  <property fmtid="{D5CDD505-2E9C-101B-9397-08002B2CF9AE}" pid="20" name="XR00163">
    <vt:lpwstr>.18.1.3</vt:lpwstr>
  </property>
  <property fmtid="{D5CDD505-2E9C-101B-9397-08002B2CF9AE}" pid="21" name="XR00164">
    <vt:lpwstr>.18.1.4</vt:lpwstr>
  </property>
  <property fmtid="{D5CDD505-2E9C-101B-9397-08002B2CF9AE}" pid="22" name="XRF00161">
    <vt:lpwstr>LOV-2018-06-08-28 Lov om høyere yrkesfaglig utdanning (fagskoleloven)</vt:lpwstr>
  </property>
  <property fmtid="{D5CDD505-2E9C-101B-9397-08002B2CF9AE}" pid="23" name="XRF00162">
    <vt:lpwstr>FOR-2019-07-11-1005 Forskrift om høyere yrkesfaglig utdanning (fagskoleforskriften)</vt:lpwstr>
  </property>
  <property fmtid="{D5CDD505-2E9C-101B-9397-08002B2CF9AE}" pid="24" name="XRF00163">
    <vt:lpwstr>FOR-2021-06-30-2379 Forskrift om høyere yrkesfaglig utdanning ved Trøndelag høyere yrkesfagskole</vt:lpwstr>
  </property>
  <property fmtid="{D5CDD505-2E9C-101B-9397-08002B2CF9AE}" pid="25" name="XRF00164">
    <vt:lpwstr>FOR-2020-04-23-853 Forskrift om akkreditering av og tilsyn med høyere yrkesfaglig utdanning (fagskoletilsynsforskriften) </vt:lpwstr>
  </property>
  <property fmtid="{D5CDD505-2E9C-101B-9397-08002B2CF9AE}" pid="26" name="XRL00161">
    <vt:lpwstr>.18.1.1 LOV-2018-06-08-28 Lov om høyere yrkesfaglig utdanning (fagskoleloven)</vt:lpwstr>
  </property>
  <property fmtid="{D5CDD505-2E9C-101B-9397-08002B2CF9AE}" pid="27" name="XRL00162">
    <vt:lpwstr>.18.1.2 FOR-2019-07-11-1005 Forskrift om høyere yrkesfaglig utdanning (fagskoleforskriften)</vt:lpwstr>
  </property>
  <property fmtid="{D5CDD505-2E9C-101B-9397-08002B2CF9AE}" pid="28" name="XRL00163">
    <vt:lpwstr>.18.1.3 FOR-2021-06-30-2379 Forskrift om høyere yrkesfaglig utdanning ved Trøndelag høyere yrkesfagskole</vt:lpwstr>
  </property>
  <property fmtid="{D5CDD505-2E9C-101B-9397-08002B2CF9AE}" pid="29" name="XRL00164">
    <vt:lpwstr>.18.1.4 FOR-2020-04-23-853 Forskrift om akkreditering av og tilsyn med høyere yrkesfaglig utdanning (fagskoletilsynsforskriften) </vt:lpwstr>
  </property>
  <property fmtid="{D5CDD505-2E9C-101B-9397-08002B2CF9AE}" pid="30" name="XRT00161">
    <vt:lpwstr>LOV-2018-06-08-28 Lov om høyere yrkesfaglig utdanning (fagskoleloven)</vt:lpwstr>
  </property>
  <property fmtid="{D5CDD505-2E9C-101B-9397-08002B2CF9AE}" pid="31" name="XRT00162">
    <vt:lpwstr>FOR-2019-07-11-1005 Forskrift om høyere yrkesfaglig utdanning (fagskoleforskriften)</vt:lpwstr>
  </property>
  <property fmtid="{D5CDD505-2E9C-101B-9397-08002B2CF9AE}" pid="32" name="XRT00163">
    <vt:lpwstr>FOR-2021-06-30-2379 Forskrift om høyere yrkesfaglig utdanning ved Trøndelag høyere yrkesfagskole</vt:lpwstr>
  </property>
  <property fmtid="{D5CDD505-2E9C-101B-9397-08002B2CF9AE}" pid="33" name="XRT00164">
    <vt:lpwstr>FOR-2020-04-23-853 Forskrift om akkreditering av og tilsyn med høyere yrkesfaglig utdanning (fagskoletilsynsforskriften) </vt:lpwstr>
  </property>
</Properties>
</file>