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268"/>
        <w:gridCol w:w="2268"/>
      </w:tblGrid>
      <w:tr w14:paraId="02699B59" w14:textId="77777777" w:rsidTr="006D73A1">
        <w:tblPrEx>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Height w:val="823"/>
        </w:trPr>
        <w:tc>
          <w:tcPr>
            <w:tcW w:w="6946" w:type="dxa"/>
            <w:gridSpan w:val="4"/>
            <w:tcBorders>
              <w:top w:val="single" w:sz="12" w:space="0" w:color="auto"/>
              <w:bottom w:val="single" w:sz="6" w:space="0" w:color="auto"/>
              <w:right w:val="single" w:sz="6" w:space="0" w:color="auto"/>
            </w:tcBorders>
          </w:tcPr>
          <w:p w:rsidR="001C0FFA" w:rsidRPr="00CF0617" w:rsidP="00F65CB0" w14:paraId="02699B57" w14:textId="6DE73502">
            <w:pPr>
              <w:spacing w:before="120" w:after="120"/>
              <w:rPr>
                <w:rFonts w:ascii="Oswald" w:hAnsi="Oswald"/>
                <w:b/>
                <w:sz w:val="28"/>
              </w:rPr>
            </w:pPr>
            <w:r>
              <w:rPr>
                <w:b/>
                <w:sz w:val="28"/>
              </w:rPr>
              <w:t xml:space="preserve"> </w:t>
            </w: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4pt;height:31.2pt">
                  <v:imagedata r:id="rId6" o:title="Logo THYF" croptop="5730f"/>
                </v:shape>
              </w:pict>
            </w:r>
          </w:p>
        </w:tc>
        <w:tc>
          <w:tcPr>
            <w:tcW w:w="2268" w:type="dxa"/>
            <w:tcBorders>
              <w:top w:val="single" w:sz="12" w:space="0" w:color="auto"/>
              <w:left w:val="nil"/>
              <w:bottom w:val="single" w:sz="6" w:space="0" w:color="auto"/>
            </w:tcBorders>
          </w:tcPr>
          <w:p w:rsidR="001C0FFA" w:rsidRPr="00560190" w:rsidP="001A2ECE" w14:paraId="3D597C09" w14:textId="77777777">
            <w:pPr>
              <w:spacing w:before="120"/>
              <w:rPr>
                <w:sz w:val="20"/>
              </w:rPr>
            </w:pPr>
            <w:r w:rsidRPr="00560190">
              <w:rPr>
                <w:sz w:val="16"/>
              </w:rPr>
              <w:t>Dok.id.:</w:t>
            </w:r>
            <w:r w:rsidRPr="00CF0617">
              <w:rPr>
                <w:sz w:val="16"/>
              </w:rPr>
              <w:t xml:space="preserve"> </w:t>
            </w:r>
            <w:r w:rsidRPr="00560190">
              <w:rPr>
                <w:b/>
                <w:bCs/>
                <w:szCs w:val="18"/>
              </w:rPr>
              <w:fldChar w:fldCharType="begin" w:fldLock="1"/>
            </w:r>
            <w:r w:rsidRPr="00560190">
              <w:rPr>
                <w:b/>
                <w:bCs/>
                <w:szCs w:val="18"/>
              </w:rPr>
              <w:instrText xml:space="preserve"> DOCPROPERTY EK_RefNr </w:instrText>
            </w:r>
            <w:r w:rsidRPr="00560190">
              <w:rPr>
                <w:b/>
                <w:bCs/>
                <w:szCs w:val="18"/>
              </w:rPr>
              <w:fldChar w:fldCharType="separate"/>
            </w:r>
            <w:r w:rsidRPr="00560190">
              <w:rPr>
                <w:b/>
                <w:bCs/>
                <w:szCs w:val="18"/>
              </w:rPr>
              <w:t>3.7.16</w:t>
            </w:r>
            <w:r w:rsidRPr="00560190">
              <w:rPr>
                <w:b/>
                <w:bCs/>
                <w:szCs w:val="18"/>
              </w:rPr>
              <w:fldChar w:fldCharType="end"/>
            </w:r>
          </w:p>
          <w:p w:rsidR="00052137" w:rsidRPr="00CF0617" w:rsidP="006D73A1" w14:paraId="02699B58" w14:textId="22585A41">
            <w:pPr>
              <w:spacing w:before="120"/>
            </w:pPr>
            <w:r w:rsidRPr="00560190">
              <w:rPr>
                <w:sz w:val="16"/>
              </w:rPr>
              <w:t>Gyldig til:</w:t>
            </w:r>
            <w:r>
              <w:rPr>
                <w:sz w:val="16"/>
              </w:rPr>
              <w:t xml:space="preserve"> </w:t>
            </w:r>
          </w:p>
        </w:tc>
      </w:tr>
      <w:tr w14:paraId="02699B5C" w14:textId="77777777" w:rsidTr="00560190">
        <w:tblPrEx>
          <w:tblW w:w="9214" w:type="dxa"/>
          <w:tblInd w:w="71" w:type="dxa"/>
          <w:tblLayout w:type="fixed"/>
          <w:tblCellMar>
            <w:left w:w="71" w:type="dxa"/>
            <w:right w:w="71" w:type="dxa"/>
          </w:tblCellMar>
          <w:tblLook w:val="0000"/>
        </w:tblPrEx>
        <w:trPr>
          <w:cantSplit/>
        </w:trPr>
        <w:tc>
          <w:tcPr>
            <w:tcW w:w="6946" w:type="dxa"/>
            <w:gridSpan w:val="4"/>
            <w:tcBorders>
              <w:top w:val="single" w:sz="6" w:space="0" w:color="auto"/>
              <w:bottom w:val="single" w:sz="6" w:space="0" w:color="auto"/>
              <w:right w:val="single" w:sz="6" w:space="0" w:color="auto"/>
            </w:tcBorders>
          </w:tcPr>
          <w:p w:rsidR="001C0FFA" w:rsidRPr="001A2ECE" w14:paraId="02699B5A" w14:textId="77777777">
            <w:pPr>
              <w:spacing w:before="80" w:after="80"/>
              <w:rPr>
                <w:b/>
              </w:rPr>
            </w:pPr>
            <w:r w:rsidRPr="001A2ECE">
              <w:rPr>
                <w:b/>
                <w:sz w:val="22"/>
                <w:szCs w:val="24"/>
              </w:rPr>
              <w:fldChar w:fldCharType="begin" w:fldLock="1"/>
            </w:r>
            <w:r w:rsidRPr="001A2ECE">
              <w:rPr>
                <w:b/>
                <w:sz w:val="22"/>
                <w:szCs w:val="24"/>
              </w:rPr>
              <w:instrText xml:space="preserve"> DOCPROPERTY EK_DokTittel </w:instrText>
            </w:r>
            <w:r w:rsidRPr="001A2ECE">
              <w:rPr>
                <w:b/>
                <w:sz w:val="22"/>
                <w:szCs w:val="24"/>
              </w:rPr>
              <w:fldChar w:fldCharType="separate"/>
            </w:r>
            <w:r w:rsidRPr="001A2ECE">
              <w:rPr>
                <w:b/>
                <w:sz w:val="22"/>
                <w:szCs w:val="24"/>
              </w:rPr>
              <w:t xml:space="preserve">Prosessbeskrivelse  for nye utdanninger og vesentlige endringer ved akkrediterte fagområder  </w:t>
            </w:r>
            <w:r w:rsidRPr="001A2ECE">
              <w:rPr>
                <w:b/>
                <w:sz w:val="22"/>
                <w:szCs w:val="24"/>
              </w:rPr>
              <w:fldChar w:fldCharType="end"/>
            </w:r>
            <w:bookmarkStart w:id="0" w:name="tempHer"/>
            <w:bookmarkEnd w:id="0"/>
          </w:p>
        </w:tc>
        <w:tc>
          <w:tcPr>
            <w:tcW w:w="2268" w:type="dxa"/>
            <w:tcBorders>
              <w:top w:val="single" w:sz="6" w:space="0" w:color="auto"/>
              <w:left w:val="nil"/>
              <w:bottom w:val="single" w:sz="6" w:space="0" w:color="auto"/>
            </w:tcBorders>
          </w:tcPr>
          <w:p w:rsidR="001A2ECE" w:rsidRPr="004A1508" w14:paraId="02699B5B" w14:textId="5970CC4A">
            <w:pPr>
              <w:spacing w:before="80" w:after="80"/>
              <w:rPr>
                <w:b/>
                <w:bCs/>
              </w:rPr>
            </w:pPr>
            <w:r w:rsidRPr="004A1508">
              <w:rPr>
                <w:b/>
                <w:bCs/>
              </w:rPr>
              <w:fldChar w:fldCharType="begin" w:fldLock="1"/>
            </w:r>
            <w:r w:rsidRPr="004A1508">
              <w:rPr>
                <w:b/>
                <w:bCs/>
              </w:rPr>
              <w:instrText>DOCPROPERTY EK_DokType \*charformat \* MERGEFORMAT</w:instrText>
            </w:r>
            <w:r w:rsidRPr="004A1508">
              <w:rPr>
                <w:b/>
                <w:bCs/>
              </w:rPr>
              <w:fldChar w:fldCharType="separate"/>
            </w:r>
            <w:r w:rsidRPr="004A1508">
              <w:rPr>
                <w:b/>
                <w:bCs/>
                <w:noProof/>
              </w:rPr>
              <w:t>Prosedyre</w:t>
            </w:r>
            <w:r w:rsidRPr="004A1508">
              <w:rPr>
                <w:b/>
                <w:bCs/>
              </w:rPr>
              <w:fldChar w:fldCharType="end"/>
            </w:r>
          </w:p>
        </w:tc>
      </w:tr>
      <w:tr w14:paraId="02699B67" w14:textId="77777777" w:rsidTr="00560190">
        <w:tblPrEx>
          <w:tblW w:w="9214" w:type="dxa"/>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rsidRPr="00560190" w14:paraId="02699B5D" w14:textId="77777777">
            <w:pPr>
              <w:rPr>
                <w:sz w:val="20"/>
              </w:rPr>
            </w:pPr>
            <w:r w:rsidRPr="00560190">
              <w:rPr>
                <w:sz w:val="16"/>
              </w:rPr>
              <w:t>Utgave:</w:t>
            </w:r>
          </w:p>
          <w:p w:rsidR="001C0FFA" w:rsidRPr="00560190" w14:paraId="02699B5E" w14:textId="77777777">
            <w:pPr>
              <w:jc w:val="center"/>
              <w:rPr>
                <w:sz w:val="20"/>
              </w:rPr>
            </w:pPr>
            <w:r w:rsidRPr="00560190">
              <w:rPr>
                <w:szCs w:val="18"/>
              </w:rPr>
              <w:fldChar w:fldCharType="begin" w:fldLock="1"/>
            </w:r>
            <w:r w:rsidRPr="00560190">
              <w:rPr>
                <w:szCs w:val="18"/>
              </w:rPr>
              <w:instrText xml:space="preserve"> DOCPROPERTY EK_Utgave </w:instrText>
            </w:r>
            <w:r w:rsidRPr="00560190">
              <w:rPr>
                <w:szCs w:val="18"/>
              </w:rPr>
              <w:fldChar w:fldCharType="separate"/>
            </w:r>
            <w:r w:rsidRPr="00560190">
              <w:rPr>
                <w:szCs w:val="18"/>
              </w:rPr>
              <w:t>0.08</w:t>
            </w:r>
            <w:r w:rsidRPr="00560190">
              <w:rPr>
                <w:szCs w:val="18"/>
              </w:rPr>
              <w:fldChar w:fldCharType="end"/>
            </w:r>
          </w:p>
        </w:tc>
        <w:tc>
          <w:tcPr>
            <w:tcW w:w="2268" w:type="dxa"/>
            <w:tcBorders>
              <w:top w:val="nil"/>
              <w:left w:val="single" w:sz="6" w:space="0" w:color="auto"/>
              <w:bottom w:val="single" w:sz="12" w:space="0" w:color="auto"/>
              <w:right w:val="nil"/>
            </w:tcBorders>
          </w:tcPr>
          <w:p w:rsidR="001C0FFA" w:rsidRPr="00560190" w14:paraId="02699B5F" w14:textId="77777777">
            <w:pPr>
              <w:rPr>
                <w:sz w:val="20"/>
              </w:rPr>
            </w:pPr>
            <w:r w:rsidRPr="00560190">
              <w:rPr>
                <w:sz w:val="16"/>
              </w:rPr>
              <w:t>Skrevet av:</w:t>
            </w:r>
          </w:p>
          <w:p w:rsidR="001C0FFA" w:rsidRPr="00560190" w14:paraId="02699B60" w14:textId="77777777">
            <w:pPr>
              <w:jc w:val="center"/>
              <w:rPr>
                <w:sz w:val="20"/>
              </w:rPr>
            </w:pPr>
            <w:r w:rsidRPr="00560190">
              <w:rPr>
                <w:szCs w:val="18"/>
              </w:rPr>
              <w:fldChar w:fldCharType="begin" w:fldLock="1"/>
            </w:r>
            <w:r w:rsidRPr="00560190">
              <w:rPr>
                <w:szCs w:val="18"/>
              </w:rPr>
              <w:instrText xml:space="preserve"> DOCPROPERTY EK_SkrevetAv </w:instrText>
            </w:r>
            <w:r w:rsidRPr="00560190">
              <w:rPr>
                <w:szCs w:val="18"/>
              </w:rPr>
              <w:fldChar w:fldCharType="separate"/>
            </w:r>
            <w:r w:rsidRPr="00560190">
              <w:rPr>
                <w:szCs w:val="18"/>
              </w:rPr>
              <w:t>Hans Tore Mikkelsen</w:t>
            </w:r>
            <w:r w:rsidRPr="00560190">
              <w:rPr>
                <w:szCs w:val="18"/>
              </w:rPr>
              <w:fldChar w:fldCharType="end"/>
            </w:r>
          </w:p>
        </w:tc>
        <w:tc>
          <w:tcPr>
            <w:tcW w:w="1417" w:type="dxa"/>
            <w:tcBorders>
              <w:top w:val="nil"/>
              <w:left w:val="single" w:sz="6" w:space="0" w:color="auto"/>
              <w:bottom w:val="single" w:sz="12" w:space="0" w:color="auto"/>
              <w:right w:val="nil"/>
            </w:tcBorders>
          </w:tcPr>
          <w:p w:rsidR="001C0FFA" w:rsidRPr="00560190" w14:paraId="02699B61" w14:textId="03268A66">
            <w:pPr>
              <w:rPr>
                <w:sz w:val="16"/>
              </w:rPr>
            </w:pPr>
            <w:r w:rsidRPr="00560190">
              <w:rPr>
                <w:sz w:val="16"/>
              </w:rPr>
              <w:t>Gjelder fra</w:t>
            </w:r>
            <w:r>
              <w:rPr>
                <w:sz w:val="16"/>
              </w:rPr>
              <w:t>/til</w:t>
            </w:r>
            <w:r w:rsidRPr="00560190">
              <w:rPr>
                <w:sz w:val="16"/>
              </w:rPr>
              <w:t>:</w:t>
            </w:r>
          </w:p>
          <w:p w:rsidR="001C0FFA" w:rsidRPr="00560190" w14:paraId="02699B62" w14:textId="211580C7">
            <w:pPr>
              <w:jc w:val="center"/>
              <w:rPr>
                <w:szCs w:val="18"/>
              </w:rPr>
            </w:pPr>
          </w:p>
        </w:tc>
        <w:tc>
          <w:tcPr>
            <w:tcW w:w="2268" w:type="dxa"/>
            <w:tcBorders>
              <w:top w:val="nil"/>
              <w:left w:val="single" w:sz="6" w:space="0" w:color="auto"/>
              <w:bottom w:val="single" w:sz="12" w:space="0" w:color="auto"/>
              <w:right w:val="nil"/>
            </w:tcBorders>
          </w:tcPr>
          <w:p w:rsidR="001C0FFA" w:rsidRPr="00560190" w14:paraId="02699B63" w14:textId="77777777">
            <w:pPr>
              <w:rPr>
                <w:sz w:val="20"/>
              </w:rPr>
            </w:pPr>
            <w:r w:rsidRPr="00560190">
              <w:rPr>
                <w:sz w:val="16"/>
              </w:rPr>
              <w:t>Godkjent av:</w:t>
            </w:r>
          </w:p>
          <w:p w:rsidR="001C0FFA" w:rsidRPr="00560190" w14:paraId="02699B64" w14:textId="328B324D">
            <w:pPr>
              <w:jc w:val="center"/>
              <w:rPr>
                <w:szCs w:val="18"/>
              </w:rPr>
            </w:pPr>
          </w:p>
        </w:tc>
        <w:tc>
          <w:tcPr>
            <w:tcW w:w="2268" w:type="dxa"/>
            <w:tcBorders>
              <w:top w:val="nil"/>
              <w:left w:val="single" w:sz="6" w:space="0" w:color="auto"/>
              <w:bottom w:val="single" w:sz="12" w:space="0" w:color="auto"/>
            </w:tcBorders>
          </w:tcPr>
          <w:p w:rsidR="001C0FFA" w:rsidRPr="00560190" w14:paraId="02699B65" w14:textId="77777777">
            <w:pPr>
              <w:rPr>
                <w:sz w:val="20"/>
              </w:rPr>
            </w:pPr>
            <w:r w:rsidRPr="00560190">
              <w:rPr>
                <w:sz w:val="16"/>
              </w:rPr>
              <w:t>Sidenr:</w:t>
            </w:r>
          </w:p>
          <w:p w:rsidR="001C0FFA" w:rsidRPr="00560190" w14:paraId="02699B66" w14:textId="4A7528B8">
            <w:pPr>
              <w:jc w:val="center"/>
              <w:rPr>
                <w:szCs w:val="18"/>
              </w:rPr>
            </w:pPr>
            <w:r w:rsidRPr="00560190">
              <w:rPr>
                <w:szCs w:val="18"/>
              </w:rPr>
              <w:fldChar w:fldCharType="begin"/>
            </w:r>
            <w:r w:rsidRPr="00560190">
              <w:rPr>
                <w:szCs w:val="18"/>
              </w:rPr>
              <w:instrText xml:space="preserve">PAGE </w:instrText>
            </w:r>
            <w:r w:rsidRPr="00560190">
              <w:rPr>
                <w:szCs w:val="18"/>
              </w:rPr>
              <w:fldChar w:fldCharType="separate"/>
            </w:r>
            <w:r w:rsidRPr="00560190">
              <w:rPr>
                <w:szCs w:val="18"/>
              </w:rPr>
              <w:t>1</w:t>
            </w:r>
            <w:r w:rsidRPr="00560190">
              <w:rPr>
                <w:szCs w:val="18"/>
              </w:rPr>
              <w:fldChar w:fldCharType="end"/>
            </w:r>
            <w:r w:rsidRPr="00560190">
              <w:rPr>
                <w:szCs w:val="18"/>
              </w:rPr>
              <w:t xml:space="preserve"> av </w:t>
            </w:r>
            <w:r w:rsidRPr="00560190">
              <w:rPr>
                <w:szCs w:val="18"/>
              </w:rPr>
              <w:fldChar w:fldCharType="begin"/>
            </w:r>
            <w:r w:rsidRPr="00560190">
              <w:rPr>
                <w:szCs w:val="18"/>
              </w:rPr>
              <w:instrText>NUMPAGES</w:instrText>
            </w:r>
            <w:r w:rsidRPr="00560190">
              <w:rPr>
                <w:szCs w:val="18"/>
              </w:rPr>
              <w:fldChar w:fldCharType="separate"/>
            </w:r>
            <w:r w:rsidRPr="00560190">
              <w:rPr>
                <w:szCs w:val="18"/>
              </w:rPr>
              <w:t>5</w:t>
            </w:r>
            <w:r w:rsidRPr="00560190">
              <w:rPr>
                <w:szCs w:val="18"/>
              </w:rPr>
              <w:fldChar w:fldCharType="end"/>
            </w:r>
          </w:p>
        </w:tc>
      </w:tr>
    </w:tbl>
    <w:p w:rsidR="00A90694" w:rsidRPr="00A90694" w:rsidP="007650EB" w14:paraId="5A214358" w14:textId="0A6914AC">
      <w:pPr>
        <w:pStyle w:val="Heading1"/>
        <w:numPr>
          <w:ilvl w:val="0"/>
          <w:numId w:val="3"/>
        </w:numPr>
        <w:spacing w:after="120"/>
        <w:ind w:left="360"/>
      </w:pPr>
      <w:r w:rsidRPr="009F7EB5">
        <w:t>Formål og omfang</w:t>
      </w:r>
    </w:p>
    <w:p w:rsidR="00B86626" w:rsidP="007650EB" w14:paraId="2FE04433" w14:textId="79BB370A">
      <w:pPr>
        <w:spacing w:after="120" w:line="276" w:lineRule="auto"/>
        <w:ind w:left="66"/>
      </w:pPr>
      <w:r>
        <w:t xml:space="preserve">Prosedyren beskriver prosess for utvikling av nye </w:t>
      </w:r>
      <w:r>
        <w:t>utdanninger og ivaretakelse av vesentlige endringer av eksisterende utdanninger innen akkreditert fagområde ved Trøndelag høyere yrkesfagskole (THYF).</w:t>
      </w:r>
    </w:p>
    <w:p w:rsidR="00DE4DA8" w:rsidP="007650EB" w14:paraId="10943B8E" w14:textId="6E987AFC">
      <w:pPr>
        <w:spacing w:after="120" w:line="276" w:lineRule="auto"/>
        <w:ind w:left="66"/>
      </w:pPr>
      <w:r>
        <w:t xml:space="preserve">Prosedyren omfatter </w:t>
      </w:r>
      <w:r w:rsidR="00D4647D">
        <w:t>fagområdeakkrediterte</w:t>
      </w:r>
      <w:r w:rsidR="00D4647D">
        <w:t xml:space="preserve"> </w:t>
      </w:r>
      <w:r>
        <w:t>utdanningsområder ved THYF</w:t>
      </w:r>
      <w:r>
        <w:t>.</w:t>
      </w:r>
    </w:p>
    <w:p w:rsidR="00B86626" w:rsidRPr="009F7EB5" w:rsidP="007650EB" w14:paraId="3A2F7B45" w14:textId="3BC04E70">
      <w:pPr>
        <w:pStyle w:val="Heading1"/>
        <w:numPr>
          <w:ilvl w:val="0"/>
          <w:numId w:val="3"/>
        </w:numPr>
        <w:spacing w:after="120"/>
        <w:ind w:left="360"/>
      </w:pPr>
      <w:r w:rsidRPr="009F7EB5">
        <w:t>Målgruppe</w:t>
      </w:r>
    </w:p>
    <w:p w:rsidR="00B86626" w:rsidP="007650EB" w14:paraId="0353A00B" w14:textId="7941B618">
      <w:pPr>
        <w:spacing w:after="120"/>
        <w:ind w:left="66"/>
      </w:pPr>
      <w:r>
        <w:t>U</w:t>
      </w:r>
      <w:r w:rsidR="004079A6">
        <w:t>tdanningsområder og ansatte ved THYF</w:t>
      </w:r>
      <w:r w:rsidR="004079A6">
        <w:t>.</w:t>
      </w:r>
    </w:p>
    <w:p w:rsidR="00B86626" w:rsidRPr="009F7EB5" w:rsidP="007650EB" w14:paraId="7CF7A7C6" w14:textId="0CB6B653">
      <w:pPr>
        <w:pStyle w:val="Heading1"/>
        <w:numPr>
          <w:ilvl w:val="0"/>
          <w:numId w:val="3"/>
        </w:numPr>
        <w:spacing w:after="120"/>
        <w:ind w:left="360"/>
      </w:pPr>
      <w:r>
        <w:t>Forklaring av ord og uttrykk</w:t>
      </w:r>
    </w:p>
    <w:p w:rsidR="00B86626" w:rsidP="007650EB" w14:paraId="6FA3EECD" w14:textId="66273E07">
      <w:pPr>
        <w:spacing w:after="120"/>
      </w:pPr>
      <w:r>
        <w:t>Ord og uttrykk anvendt i dokumentet som krever nærmere forklaring:</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7"/>
        <w:gridCol w:w="7207"/>
      </w:tblGrid>
      <w:tr w14:paraId="07666620" w14:textId="77777777" w:rsidTr="007650EB">
        <w:tblPrEx>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985" w:type="dxa"/>
          </w:tcPr>
          <w:p w:rsidR="00E00D53" w:rsidP="00DE4DA8" w14:paraId="5C3A48EE" w14:textId="2D668BC7">
            <w:pPr>
              <w:spacing w:after="120"/>
            </w:pPr>
            <w:r>
              <w:t>Fagområde:</w:t>
            </w:r>
          </w:p>
        </w:tc>
        <w:tc>
          <w:tcPr>
            <w:tcW w:w="7229" w:type="dxa"/>
            <w:vAlign w:val="center"/>
          </w:tcPr>
          <w:p w:rsidR="0081480B" w:rsidP="00E00D53" w14:paraId="17A39D17" w14:textId="77777777">
            <w:pPr>
              <w:spacing w:after="120"/>
            </w:pPr>
            <w:r>
              <w:t xml:space="preserve">Et fagområde skal være relatert til ett eller flere yrkesfelt. </w:t>
            </w:r>
          </w:p>
          <w:p w:rsidR="00E00D53" w:rsidP="00E00D53" w14:paraId="5711E312" w14:textId="77777777">
            <w:pPr>
              <w:spacing w:after="120"/>
            </w:pPr>
            <w:r>
              <w:t>Fagområdet skal være tydelig definert og avgrenset. Det skal ha faglig bredde til å inkludere flere utdanningen.</w:t>
            </w:r>
          </w:p>
          <w:p w:rsidR="0081480B" w:rsidRPr="0081480B" w:rsidP="00E00D53" w14:paraId="5B207647" w14:textId="58A6BCD9">
            <w:pPr>
              <w:spacing w:after="120"/>
            </w:pPr>
            <w:r>
              <w:t>Fagskolen skal ha en strategi med mål og tiltak for å utvikle fagområdet, og kunne gjennomføre denne.</w:t>
            </w:r>
          </w:p>
        </w:tc>
      </w:tr>
      <w:tr w14:paraId="6EFBF37C" w14:textId="77777777" w:rsidTr="007650EB">
        <w:tblPrEx>
          <w:tblW w:w="9214" w:type="dxa"/>
          <w:tblInd w:w="108" w:type="dxa"/>
          <w:tblLook w:val="04A0"/>
        </w:tblPrEx>
        <w:tc>
          <w:tcPr>
            <w:tcW w:w="1985" w:type="dxa"/>
          </w:tcPr>
          <w:p w:rsidR="00E00D53" w:rsidP="00DE4DA8" w14:paraId="7E68956A" w14:textId="27642808">
            <w:pPr>
              <w:spacing w:after="120"/>
            </w:pPr>
            <w:r>
              <w:t>Utdanning:</w:t>
            </w:r>
          </w:p>
        </w:tc>
        <w:tc>
          <w:tcPr>
            <w:tcW w:w="7229" w:type="dxa"/>
            <w:vAlign w:val="center"/>
          </w:tcPr>
          <w:p w:rsidR="00A94772" w:rsidP="00E00D53" w14:paraId="5F05723A" w14:textId="45BD9CCF">
            <w:pPr>
              <w:spacing w:after="120"/>
            </w:pPr>
            <w:r>
              <w:t>Fellesbetegnelse for all læring av ferdigheter og kunnskaper. I denne sammenhengen refereres det til utdanninger tilbudt av THYF.</w:t>
            </w:r>
          </w:p>
        </w:tc>
      </w:tr>
      <w:tr w14:paraId="0E77BB08" w14:textId="77777777" w:rsidTr="007650EB">
        <w:tblPrEx>
          <w:tblW w:w="9214" w:type="dxa"/>
          <w:tblInd w:w="108" w:type="dxa"/>
          <w:tblLook w:val="04A0"/>
        </w:tblPrEx>
        <w:tc>
          <w:tcPr>
            <w:tcW w:w="1985" w:type="dxa"/>
          </w:tcPr>
          <w:p w:rsidR="00A94772" w:rsidP="00DE4DA8" w14:paraId="793FE0BC" w14:textId="02944181">
            <w:pPr>
              <w:spacing w:after="120"/>
            </w:pPr>
            <w:r>
              <w:t>Utdanningsområde:</w:t>
            </w:r>
          </w:p>
        </w:tc>
        <w:tc>
          <w:tcPr>
            <w:tcW w:w="7229" w:type="dxa"/>
            <w:vAlign w:val="center"/>
          </w:tcPr>
          <w:p w:rsidR="00A94772" w:rsidP="00E00D53" w14:paraId="229D7AAB" w14:textId="381D59E7">
            <w:pPr>
              <w:spacing w:after="120"/>
            </w:pPr>
            <w:r>
              <w:t>Omfatter en samling av flere fag-/yrkesfelt hvor THYF tilbyr utdanninger.</w:t>
            </w:r>
          </w:p>
        </w:tc>
      </w:tr>
      <w:tr w14:paraId="75876DCC" w14:textId="77777777" w:rsidTr="007650EB">
        <w:tblPrEx>
          <w:tblW w:w="9214" w:type="dxa"/>
          <w:tblInd w:w="108" w:type="dxa"/>
          <w:tblLook w:val="04A0"/>
        </w:tblPrEx>
        <w:tc>
          <w:tcPr>
            <w:tcW w:w="1985" w:type="dxa"/>
          </w:tcPr>
          <w:p w:rsidR="00E00D53" w:rsidP="00DE4DA8" w14:paraId="52B8C2C6" w14:textId="486087DB">
            <w:pPr>
              <w:spacing w:after="120"/>
            </w:pPr>
            <w:r>
              <w:t>Vesentlig endring:</w:t>
            </w:r>
          </w:p>
        </w:tc>
        <w:tc>
          <w:tcPr>
            <w:tcW w:w="7229" w:type="dxa"/>
            <w:vAlign w:val="center"/>
          </w:tcPr>
          <w:p w:rsidR="00E00D53" w:rsidP="00E00D53" w14:paraId="61D2F82B" w14:textId="0D996CB5">
            <w:pPr>
              <w:spacing w:after="120"/>
            </w:pPr>
            <w:r>
              <w:t>En endring av navn på utdanning, overordnet læringsutbytte, eller form på utdanningen.</w:t>
            </w:r>
          </w:p>
        </w:tc>
      </w:tr>
    </w:tbl>
    <w:p w:rsidR="00B86626" w:rsidRPr="009F7EB5" w:rsidP="007650EB" w14:paraId="431E085A" w14:textId="7C59F2DE">
      <w:pPr>
        <w:pStyle w:val="Heading1"/>
        <w:numPr>
          <w:ilvl w:val="0"/>
          <w:numId w:val="3"/>
        </w:numPr>
        <w:spacing w:after="120"/>
        <w:ind w:left="360"/>
      </w:pPr>
      <w:r w:rsidRPr="009F7EB5">
        <w:t>Ansvar og myndighet</w:t>
      </w:r>
    </w:p>
    <w:p w:rsidR="00B86626" w:rsidP="007650EB" w14:paraId="39F370DE" w14:textId="1F259CB5">
      <w:pPr>
        <w:spacing w:after="120"/>
        <w:ind w:left="66"/>
      </w:pPr>
      <w:r>
        <w:t>Styret ved THYF har ansvar for å vurdere og akkreditere nye utdanningstilbud eller vesentlige endringer</w:t>
      </w:r>
      <w:r w:rsidR="005363A9">
        <w:t xml:space="preserve"> av eksisterende utdanninger</w:t>
      </w:r>
      <w:r>
        <w:t xml:space="preserve"> i tråd med prosesser beskrevet i dette dokumentet</w:t>
      </w:r>
      <w:r w:rsidR="005363A9">
        <w:t>. Vurdering og akkreditering basert på</w:t>
      </w:r>
      <w:r>
        <w:t xml:space="preserve"> innstilling fra rektor.</w:t>
      </w:r>
    </w:p>
    <w:p w:rsidR="00DE4DA8" w:rsidP="007650EB" w14:paraId="72CA8C2E" w14:textId="0F04C71C">
      <w:pPr>
        <w:spacing w:after="120"/>
        <w:ind w:left="66"/>
      </w:pPr>
      <w:r>
        <w:t xml:space="preserve">Sakkyndig utvalg ved THYF er ansvarlig for kvalitetssikring av vesentlige endringer av </w:t>
      </w:r>
      <w:r>
        <w:t>utdanningstilbud samt kvalitetssikring av nye utdanninger. Utvalget utarbeider en rapport som oversendes rektor. Rektor utarbeider en innstilling for behandling av styret.</w:t>
      </w:r>
    </w:p>
    <w:p w:rsidR="00DE4DA8" w:rsidP="007650EB" w14:paraId="3F002A4F" w14:textId="7697B118">
      <w:pPr>
        <w:spacing w:after="120"/>
        <w:ind w:left="66"/>
      </w:pPr>
      <w:r>
        <w:t>Kvalitetsrådgiver er ansvarlig for at studieplanen oppfyller kriterier i h.h.t. Lover og forskrifter for høyere yrkesfaglig utdanning. Vedkommende sørger videre for at saksbehandlingen følger prosedyre for etablering av nye utdanninger og vesentlige endringer av eksisterende utdanninger innenfor akkreditert fagområde ved THYF. Kvalitetsrådgiver har kontakten med NOKUT og eventuelle sertifiserings- og andre godkjenningsorgan</w:t>
      </w:r>
      <w:r>
        <w:rPr>
          <w:rStyle w:val="FootnoteReference"/>
        </w:rPr>
        <w:footnoteReference w:id="3"/>
      </w:r>
      <w:r>
        <w:t>.</w:t>
      </w:r>
    </w:p>
    <w:p w:rsidR="00F9677E" w:rsidRPr="00F9677E" w:rsidP="007650EB" w14:paraId="2A668A33" w14:textId="590EB5C1">
      <w:pPr>
        <w:pStyle w:val="Heading1"/>
        <w:numPr>
          <w:ilvl w:val="0"/>
          <w:numId w:val="3"/>
        </w:numPr>
        <w:spacing w:after="120"/>
        <w:ind w:left="360"/>
      </w:pPr>
      <w:r>
        <w:br w:type="page"/>
      </w:r>
      <w:r w:rsidRPr="009F7EB5" w:rsidR="00CA666C">
        <w:t>Beskrivelse</w:t>
      </w:r>
      <w:r w:rsidR="006D73A1">
        <w:t xml:space="preserve"> av utførelse</w:t>
      </w:r>
    </w:p>
    <w:p w:rsidR="00B86626" w:rsidP="007650EB" w14:paraId="62ACA4DF" w14:textId="115B0E02">
      <w:pPr>
        <w:spacing w:after="120"/>
        <w:ind w:left="66"/>
      </w:pPr>
      <w:r>
        <w:t>Prosessene for utvikling av nye utdanninger og vesentlige endringer av eksisterende utdanninger organiseres i følgende faser:</w:t>
      </w:r>
    </w:p>
    <w:p w:rsidR="006D73A1" w:rsidP="007650EB" w14:paraId="27CCEFA3" w14:textId="47E8708E">
      <w:pPr>
        <w:numPr>
          <w:ilvl w:val="0"/>
          <w:numId w:val="7"/>
        </w:numPr>
        <w:spacing w:after="120"/>
        <w:ind w:left="782" w:hanging="357"/>
        <w:contextualSpacing/>
      </w:pPr>
      <w:r>
        <w:t>Start-/Initieringsfasen</w:t>
      </w:r>
    </w:p>
    <w:p w:rsidR="006D73A1" w:rsidP="007650EB" w14:paraId="256E4D3B" w14:textId="70457E91">
      <w:pPr>
        <w:numPr>
          <w:ilvl w:val="0"/>
          <w:numId w:val="7"/>
        </w:numPr>
        <w:spacing w:after="120"/>
        <w:ind w:left="782" w:hanging="357"/>
        <w:contextualSpacing/>
      </w:pPr>
      <w:bookmarkStart w:id="1" w:name="_Hlk168342991"/>
      <w:r>
        <w:t>Utredningsfasen</w:t>
      </w:r>
    </w:p>
    <w:p w:rsidR="006D73A1" w:rsidP="007650EB" w14:paraId="12352990" w14:textId="1D1FF8C1">
      <w:pPr>
        <w:numPr>
          <w:ilvl w:val="0"/>
          <w:numId w:val="7"/>
        </w:numPr>
        <w:spacing w:after="120"/>
        <w:ind w:left="782" w:hanging="357"/>
        <w:contextualSpacing/>
      </w:pPr>
      <w:r>
        <w:t>Beslutningsfasen</w:t>
      </w:r>
    </w:p>
    <w:p w:rsidR="006D73A1" w:rsidP="007650EB" w14:paraId="2935D4B3" w14:textId="74A86762">
      <w:pPr>
        <w:numPr>
          <w:ilvl w:val="0"/>
          <w:numId w:val="7"/>
        </w:numPr>
        <w:spacing w:after="120"/>
        <w:ind w:left="782" w:hanging="357"/>
        <w:contextualSpacing/>
      </w:pPr>
      <w:r>
        <w:t>Utviklingsfasen</w:t>
      </w:r>
    </w:p>
    <w:p w:rsidR="006D73A1" w:rsidP="007650EB" w14:paraId="51F18B31" w14:textId="2BC5730B">
      <w:pPr>
        <w:numPr>
          <w:ilvl w:val="0"/>
          <w:numId w:val="7"/>
        </w:numPr>
        <w:spacing w:after="120"/>
        <w:ind w:left="782" w:hanging="357"/>
        <w:contextualSpacing/>
      </w:pPr>
      <w:r>
        <w:t>Internkontrollfasen</w:t>
      </w:r>
    </w:p>
    <w:p w:rsidR="006D73A1" w:rsidP="007650EB" w14:paraId="060E5EDE" w14:textId="30542B61">
      <w:pPr>
        <w:numPr>
          <w:ilvl w:val="0"/>
          <w:numId w:val="7"/>
        </w:numPr>
        <w:spacing w:after="120"/>
        <w:ind w:left="782" w:hanging="357"/>
        <w:contextualSpacing/>
      </w:pPr>
      <w:r>
        <w:t>Vurderingsfasen</w:t>
      </w:r>
    </w:p>
    <w:p w:rsidR="006D73A1" w:rsidP="007650EB" w14:paraId="2EBD741F" w14:textId="2CA7B464">
      <w:pPr>
        <w:numPr>
          <w:ilvl w:val="0"/>
          <w:numId w:val="7"/>
        </w:numPr>
        <w:spacing w:after="120"/>
        <w:ind w:left="782" w:hanging="357"/>
        <w:contextualSpacing/>
      </w:pPr>
      <w:r>
        <w:t>Vedtaksfasen</w:t>
      </w:r>
    </w:p>
    <w:p w:rsidR="00F909AE" w:rsidP="00F909AE" w14:paraId="4A1FE64A" w14:textId="77777777">
      <w:pPr>
        <w:spacing w:after="120"/>
        <w:contextualSpacing/>
      </w:pPr>
    </w:p>
    <w:bookmarkEnd w:id="1"/>
    <w:p w:rsidR="007650EB" w:rsidRPr="007650EB" w:rsidP="00B43A58" w14:paraId="00D68E9F" w14:textId="62F86878">
      <w:pPr>
        <w:spacing w:after="120"/>
        <w:rPr>
          <w:b/>
          <w:bCs/>
        </w:rPr>
      </w:pPr>
      <w:r w:rsidRPr="007650EB">
        <w:rPr>
          <w:b/>
          <w:bCs/>
        </w:rPr>
        <w:t>5.1. Initierings-/oppstartsfasen</w:t>
      </w:r>
    </w:p>
    <w:p w:rsidR="007650EB" w:rsidP="00B43A58" w14:paraId="6EC68A77" w14:textId="3794BBA2">
      <w:pPr>
        <w:spacing w:after="120"/>
      </w:pPr>
      <w:r>
        <w:t>Denne fasen tar for seg hvordan nye utdanninger og vesentlige endringer av eksisterende utdanninger initieres og organiseres.</w:t>
      </w:r>
    </w:p>
    <w:p w:rsidR="00B43A58" w:rsidP="00B43A58" w14:paraId="4AD01D5F" w14:textId="77777777">
      <w:pPr>
        <w:spacing w:after="120"/>
      </w:pPr>
    </w:p>
    <w:p w:rsidR="00B43A58" w:rsidRPr="00B43A58" w:rsidP="00B43A58" w14:paraId="6F9EBD77" w14:textId="5F93F94E">
      <w:pPr>
        <w:spacing w:after="120"/>
        <w:rPr>
          <w:u w:val="single"/>
        </w:rPr>
      </w:pPr>
      <w:r w:rsidRPr="00B43A58">
        <w:rPr>
          <w:u w:val="single"/>
        </w:rPr>
        <w:t>Trinn 1 Nye utdanninger og vesentlige endringer - behov og initiativ</w:t>
      </w:r>
    </w:p>
    <w:p w:rsidR="0057506F" w:rsidP="00B43A58" w14:paraId="2976BFE8" w14:textId="77777777">
      <w:pPr>
        <w:spacing w:after="120"/>
      </w:pPr>
      <w:r>
        <w:t xml:space="preserve">Utdanninger ved THYF skal være forankret i vedtatt strategi for fagskolen. </w:t>
      </w:r>
    </w:p>
    <w:p w:rsidR="007650EB" w:rsidP="00B43A58" w14:paraId="7C703925" w14:textId="502FECAD">
      <w:pPr>
        <w:spacing w:after="120"/>
      </w:pPr>
      <w:r>
        <w:t xml:space="preserve">Arbeidslivet, eksterne fagmiljø, organisasjoner, bransjeorganisasjoner, studenter, fagskolens fagmiljø, styre, ledelse og skoleeier kan ta initiativ til </w:t>
      </w:r>
      <w:r w:rsidR="00B43A58">
        <w:t>utvikling av utdanninger og vesentlige endringer av eksisterende utdanninger</w:t>
      </w:r>
      <w:r>
        <w:t>.</w:t>
      </w:r>
    </w:p>
    <w:p w:rsidR="0057506F" w:rsidP="00B43A58" w14:paraId="22E25E1B" w14:textId="422B3D9D">
      <w:pPr>
        <w:spacing w:after="120"/>
      </w:pPr>
      <w:r>
        <w:t>Ved innmelding av behov skal følgende vedlegges:</w:t>
      </w:r>
    </w:p>
    <w:p w:rsidR="0057506F" w:rsidP="0057506F" w14:paraId="422AF654" w14:textId="29AB01B9">
      <w:pPr>
        <w:numPr>
          <w:ilvl w:val="0"/>
          <w:numId w:val="8"/>
        </w:numPr>
        <w:spacing w:after="120"/>
        <w:ind w:left="714" w:hanging="357"/>
        <w:contextualSpacing/>
      </w:pPr>
      <w:r>
        <w:t>Begrunnelse for behovet</w:t>
      </w:r>
    </w:p>
    <w:p w:rsidR="0057506F" w:rsidP="0057506F" w14:paraId="31C78EC0" w14:textId="2189F579">
      <w:pPr>
        <w:numPr>
          <w:ilvl w:val="0"/>
          <w:numId w:val="8"/>
        </w:numPr>
        <w:spacing w:after="120"/>
        <w:ind w:left="714" w:hanging="357"/>
        <w:contextualSpacing/>
      </w:pPr>
      <w:r>
        <w:t>Antatt faglig innhold og omfang</w:t>
      </w:r>
    </w:p>
    <w:p w:rsidR="0057506F" w:rsidP="0057506F" w14:paraId="03521B4E" w14:textId="72185DCB">
      <w:pPr>
        <w:numPr>
          <w:ilvl w:val="0"/>
          <w:numId w:val="8"/>
        </w:numPr>
        <w:spacing w:after="120"/>
        <w:ind w:left="714" w:hanging="357"/>
        <w:contextualSpacing/>
      </w:pPr>
      <w:r>
        <w:t xml:space="preserve">Antatt </w:t>
      </w:r>
      <w:r>
        <w:t>målgruppe</w:t>
      </w:r>
    </w:p>
    <w:p w:rsidR="00B43A58" w:rsidP="00B43A58" w14:paraId="7EF3D224" w14:textId="77777777">
      <w:pPr>
        <w:spacing w:after="120"/>
      </w:pPr>
    </w:p>
    <w:p w:rsidR="007650EB" w:rsidRPr="007650EB" w:rsidP="00B43A58" w14:paraId="422962EC" w14:textId="1CE5F6ED">
      <w:pPr>
        <w:spacing w:after="120"/>
        <w:rPr>
          <w:b/>
          <w:bCs/>
        </w:rPr>
      </w:pPr>
      <w:r w:rsidRPr="007650EB">
        <w:rPr>
          <w:b/>
          <w:bCs/>
        </w:rPr>
        <w:t>5.2. Utredningsfasen</w:t>
      </w:r>
    </w:p>
    <w:p w:rsidR="00D119F6" w:rsidP="00D119F6" w14:paraId="0735E239" w14:textId="77777777">
      <w:pPr>
        <w:spacing w:after="120"/>
        <w:jc w:val="both"/>
      </w:pPr>
      <w:r>
        <w:t>Denne fasen forutsetter at det er avdekket et behov for en ny utdanning eller at der er behov for en vesentlig endring av eksisterende utdanning. Utredningsfasen er delt inn i tre trinn:</w:t>
      </w:r>
    </w:p>
    <w:p w:rsidR="00D119F6" w:rsidP="00D119F6" w14:paraId="5B395F1C" w14:textId="116F8D70">
      <w:pPr>
        <w:numPr>
          <w:ilvl w:val="0"/>
          <w:numId w:val="14"/>
        </w:numPr>
        <w:spacing w:after="120"/>
        <w:ind w:left="714" w:hanging="357"/>
        <w:contextualSpacing/>
        <w:jc w:val="both"/>
      </w:pPr>
      <w:r>
        <w:t>Trinn</w:t>
      </w:r>
      <w:r w:rsidR="00946264">
        <w:t xml:space="preserve"> 2</w:t>
      </w:r>
      <w:r>
        <w:t>:</w:t>
      </w:r>
      <w:r w:rsidR="00946264">
        <w:t xml:space="preserve"> </w:t>
      </w:r>
      <w:r>
        <w:t>V</w:t>
      </w:r>
      <w:r w:rsidR="00946264">
        <w:t>urder</w:t>
      </w:r>
      <w:r>
        <w:t>e</w:t>
      </w:r>
      <w:r w:rsidR="00946264">
        <w:t xml:space="preserve"> det innmeldte behovet </w:t>
      </w:r>
    </w:p>
    <w:p w:rsidR="00D119F6" w:rsidP="00D119F6" w14:paraId="10C89468" w14:textId="4C5A1F89">
      <w:pPr>
        <w:numPr>
          <w:ilvl w:val="0"/>
          <w:numId w:val="14"/>
        </w:numPr>
        <w:spacing w:after="120"/>
        <w:ind w:left="714" w:hanging="357"/>
        <w:contextualSpacing/>
        <w:jc w:val="both"/>
      </w:pPr>
      <w:r>
        <w:t xml:space="preserve">Trinn </w:t>
      </w:r>
      <w:r w:rsidR="00946264">
        <w:t>3</w:t>
      </w:r>
      <w:r>
        <w:t>:</w:t>
      </w:r>
      <w:r w:rsidR="00946264">
        <w:t xml:space="preserve"> </w:t>
      </w:r>
      <w:r>
        <w:t>E</w:t>
      </w:r>
      <w:r w:rsidR="00946264">
        <w:t>tabler</w:t>
      </w:r>
      <w:r>
        <w:t>e</w:t>
      </w:r>
      <w:r w:rsidR="00946264">
        <w:t xml:space="preserve"> arbeidsgrupper</w:t>
      </w:r>
    </w:p>
    <w:p w:rsidR="007650EB" w:rsidP="00D119F6" w14:paraId="0D0F2AF0" w14:textId="3142022C">
      <w:pPr>
        <w:numPr>
          <w:ilvl w:val="0"/>
          <w:numId w:val="14"/>
        </w:numPr>
        <w:spacing w:after="120"/>
        <w:ind w:left="714" w:hanging="357"/>
        <w:contextualSpacing/>
        <w:jc w:val="both"/>
      </w:pPr>
      <w:r>
        <w:t>Trinn</w:t>
      </w:r>
      <w:r w:rsidR="00946264">
        <w:t xml:space="preserve"> 4</w:t>
      </w:r>
      <w:r>
        <w:t>: U</w:t>
      </w:r>
      <w:r w:rsidR="00946264">
        <w:t>tarbeide rapport</w:t>
      </w:r>
    </w:p>
    <w:p w:rsidR="007650EB" w:rsidP="00D119F6" w14:paraId="4503BF24" w14:textId="77777777">
      <w:pPr>
        <w:spacing w:after="120"/>
        <w:jc w:val="both"/>
      </w:pPr>
    </w:p>
    <w:p w:rsidR="00D119F6" w:rsidRPr="00D119F6" w:rsidP="00D119F6" w14:paraId="5DD72498" w14:textId="77777777">
      <w:pPr>
        <w:spacing w:after="120"/>
        <w:jc w:val="both"/>
        <w:rPr>
          <w:u w:val="single"/>
        </w:rPr>
      </w:pPr>
      <w:r w:rsidRPr="00D119F6">
        <w:rPr>
          <w:u w:val="single"/>
        </w:rPr>
        <w:t xml:space="preserve">Trinn 2 - Vurdere det innmeldte behovet </w:t>
      </w:r>
    </w:p>
    <w:p w:rsidR="006A2057" w:rsidP="00D119F6" w14:paraId="6DBE4472" w14:textId="4DB7F0AB">
      <w:pPr>
        <w:spacing w:after="120"/>
        <w:jc w:val="both"/>
      </w:pPr>
      <w:r>
        <w:t xml:space="preserve">Alle initiativ til nye utdanninger og vesentlige endringer skal gjennom en vurdering av THYFs lederteam. Rektor fatter et vedtak om skolen skal gå </w:t>
      </w:r>
      <w:r>
        <w:t>videre med det innmeldt behovet. Ved negativ beslutning orienteres initiativtaker om beslutningen. Beslutninger dokumenteres i Public 360. Ved positiv beslutning etablerer rektor en arbeidsgruppe som arbeider videre med saken.</w:t>
      </w:r>
    </w:p>
    <w:p w:rsidR="006A2057" w:rsidP="00D119F6" w14:paraId="10470DD6" w14:textId="77777777">
      <w:pPr>
        <w:spacing w:after="120"/>
        <w:jc w:val="both"/>
      </w:pPr>
    </w:p>
    <w:p w:rsidR="006A2057" w:rsidRPr="006A2057" w:rsidP="00D119F6" w14:paraId="0E01C724" w14:textId="77777777">
      <w:pPr>
        <w:spacing w:after="120"/>
        <w:jc w:val="both"/>
        <w:rPr>
          <w:u w:val="single"/>
        </w:rPr>
      </w:pPr>
      <w:r w:rsidRPr="006A2057">
        <w:rPr>
          <w:u w:val="single"/>
        </w:rPr>
        <w:t xml:space="preserve">Trinn 3 – Etablering av arbeidsgruppe </w:t>
      </w:r>
    </w:p>
    <w:p w:rsidR="00D119F6" w:rsidP="00D119F6" w14:paraId="63FFCE3C" w14:textId="037682DE">
      <w:pPr>
        <w:spacing w:after="120"/>
        <w:jc w:val="both"/>
      </w:pPr>
      <w:r>
        <w:t xml:space="preserve">Arbeidsgruppen skal bestå av </w:t>
      </w:r>
      <w:r w:rsidR="006A2057">
        <w:t>utdannings</w:t>
      </w:r>
      <w:r>
        <w:t>leder</w:t>
      </w:r>
      <w:r w:rsidR="006A2057">
        <w:t xml:space="preserve"> (studieleder</w:t>
      </w:r>
      <w:r>
        <w:rPr>
          <w:rStyle w:val="FootnoteReference"/>
        </w:rPr>
        <w:footnoteReference w:id="4"/>
      </w:r>
      <w:r w:rsidR="006A2057">
        <w:t>?</w:t>
      </w:r>
      <w:r>
        <w:t xml:space="preserve">), utviklingsleder, minst en faglærer fra nærliggende fagretning, minst to representanter fra arbeidslivet og minst en student. Ved etablering av arbeidsgruppen, </w:t>
      </w:r>
      <w:r w:rsidR="006A2057">
        <w:t xml:space="preserve">er det også viktig at </w:t>
      </w:r>
      <w:r>
        <w:t xml:space="preserve">det følge </w:t>
      </w:r>
      <w:r w:rsidR="006A2057">
        <w:t xml:space="preserve">med </w:t>
      </w:r>
      <w:r>
        <w:t xml:space="preserve">ressurser til </w:t>
      </w:r>
      <w:r w:rsidR="006A2057">
        <w:t xml:space="preserve">å utføre </w:t>
      </w:r>
      <w:r>
        <w:t xml:space="preserve">arbeidet. </w:t>
      </w:r>
    </w:p>
    <w:p w:rsidR="006A2057" w:rsidP="00D119F6" w14:paraId="1C94B772" w14:textId="77777777">
      <w:pPr>
        <w:spacing w:after="120"/>
        <w:jc w:val="both"/>
      </w:pPr>
    </w:p>
    <w:p w:rsidR="00AE1605" w:rsidRPr="00AE1605" w:rsidP="00D119F6" w14:paraId="6F2838E1" w14:textId="6822C360">
      <w:pPr>
        <w:spacing w:after="120"/>
        <w:jc w:val="both"/>
        <w:rPr>
          <w:u w:val="single"/>
        </w:rPr>
      </w:pPr>
      <w:r w:rsidRPr="00AE1605">
        <w:rPr>
          <w:u w:val="single"/>
        </w:rPr>
        <w:t>Trinn 4 – Arbeidsgruppens utredning og rapportering</w:t>
      </w:r>
    </w:p>
    <w:p w:rsidR="00D119F6" w:rsidP="00D119F6" w14:paraId="6797BF3E" w14:textId="4E432567">
      <w:pPr>
        <w:spacing w:after="120"/>
        <w:jc w:val="both"/>
      </w:pPr>
      <w:r>
        <w:t>Arbeidsgrupp</w:t>
      </w:r>
      <w:r w:rsidR="00584BC8">
        <w:t>en</w:t>
      </w:r>
      <w:r>
        <w:t xml:space="preserve"> skal utarbeide en rapport </w:t>
      </w:r>
      <w:r w:rsidR="00AE1605">
        <w:t xml:space="preserve">som overleveres ledergruppen ved THYF. Rapporten skal gi en </w:t>
      </w:r>
      <w:r>
        <w:t>anbefaling om utvikling av nye utdanninger eller en større revidering av eksisterende utdanning</w:t>
      </w:r>
      <w:r w:rsidR="00AE1605">
        <w:t xml:space="preserve"> hvis dette er aktuelt</w:t>
      </w:r>
      <w:r>
        <w:t xml:space="preserve">. </w:t>
      </w:r>
      <w:r w:rsidR="00AE1605">
        <w:t>I prinsippet kan rapporten også trekke den motsatte konklusjonen om at den nye utdanningen ikke anbefales utviklet.</w:t>
      </w:r>
    </w:p>
    <w:p w:rsidR="00D119F6" w:rsidP="00D119F6" w14:paraId="4390997F" w14:textId="723FAA11">
      <w:pPr>
        <w:spacing w:after="120"/>
        <w:jc w:val="both"/>
      </w:pPr>
      <w:r>
        <w:t>Rapporten skal inneholde følgende momenter</w:t>
      </w:r>
      <w:r w:rsidR="00AE1605">
        <w:t>, jfr.</w:t>
      </w:r>
      <w:r>
        <w:t xml:space="preserve"> </w:t>
      </w:r>
      <w:r w:rsidR="00AE1605">
        <w:t xml:space="preserve">dokument 3.7.16 </w:t>
      </w:r>
      <w:r>
        <w:t>Utredning og rapport om nye utdanninger eller vesentlige endringer</w:t>
      </w:r>
      <w:r w:rsidR="00AE1605">
        <w:t>:</w:t>
      </w:r>
    </w:p>
    <w:p w:rsidR="00D119F6" w:rsidP="00D119F6" w14:paraId="1D5D6D2A" w14:textId="77777777">
      <w:pPr>
        <w:spacing w:after="120"/>
        <w:jc w:val="both"/>
      </w:pPr>
      <w:r>
        <w:t xml:space="preserve">Utdanningstilbudet og kompetanse- og ressursbehov </w:t>
      </w:r>
    </w:p>
    <w:p w:rsidR="00D119F6" w:rsidP="00946264" w14:paraId="24319770" w14:textId="352934C5">
      <w:pPr>
        <w:numPr>
          <w:ilvl w:val="0"/>
          <w:numId w:val="15"/>
        </w:numPr>
        <w:spacing w:after="120"/>
        <w:contextualSpacing/>
        <w:jc w:val="both"/>
      </w:pPr>
      <w:r>
        <w:t xml:space="preserve">Hvilken kompetanse utdanningen skal gi </w:t>
      </w:r>
    </w:p>
    <w:p w:rsidR="00D119F6" w:rsidP="00946264" w14:paraId="1D8B597D" w14:textId="1D73FA27">
      <w:pPr>
        <w:numPr>
          <w:ilvl w:val="0"/>
          <w:numId w:val="15"/>
        </w:numPr>
        <w:spacing w:after="120"/>
        <w:contextualSpacing/>
        <w:jc w:val="both"/>
      </w:pPr>
      <w:r>
        <w:t xml:space="preserve">Omfang på utdanningen </w:t>
      </w:r>
    </w:p>
    <w:p w:rsidR="00D119F6" w:rsidP="00946264" w14:paraId="05F4D3ED" w14:textId="055064D7">
      <w:pPr>
        <w:numPr>
          <w:ilvl w:val="0"/>
          <w:numId w:val="15"/>
        </w:numPr>
        <w:spacing w:after="120"/>
        <w:contextualSpacing/>
        <w:jc w:val="both"/>
      </w:pPr>
      <w:r>
        <w:t xml:space="preserve">Forankring av utdanningen i fagskolens strategiplan </w:t>
      </w:r>
    </w:p>
    <w:p w:rsidR="00D119F6" w:rsidP="00946264" w14:paraId="1C72D177" w14:textId="78394832">
      <w:pPr>
        <w:numPr>
          <w:ilvl w:val="0"/>
          <w:numId w:val="15"/>
        </w:numPr>
        <w:spacing w:after="120"/>
        <w:contextualSpacing/>
        <w:jc w:val="both"/>
      </w:pPr>
      <w:r>
        <w:t xml:space="preserve">Kravspesifikasjon til fagmiljøet tilknyttet utdanningen </w:t>
      </w:r>
    </w:p>
    <w:p w:rsidR="00D119F6" w:rsidP="00946264" w14:paraId="7BDA75B4" w14:textId="489399EE">
      <w:pPr>
        <w:numPr>
          <w:ilvl w:val="0"/>
          <w:numId w:val="15"/>
        </w:numPr>
        <w:spacing w:after="120"/>
        <w:contextualSpacing/>
        <w:jc w:val="both"/>
      </w:pPr>
      <w:r>
        <w:t xml:space="preserve">Infrastruktur </w:t>
      </w:r>
    </w:p>
    <w:p w:rsidR="00D119F6" w:rsidP="00946264" w14:paraId="06E2726E" w14:textId="61850B5D">
      <w:pPr>
        <w:numPr>
          <w:ilvl w:val="0"/>
          <w:numId w:val="15"/>
        </w:numPr>
        <w:spacing w:after="120"/>
        <w:contextualSpacing/>
        <w:jc w:val="both"/>
      </w:pPr>
      <w:r>
        <w:t xml:space="preserve">Økonomisk vurdering: Behov for investeringer (utstyr og kompetanseheving/innleie) </w:t>
      </w:r>
    </w:p>
    <w:p w:rsidR="00D119F6" w:rsidP="00946264" w14:paraId="384C9923" w14:textId="4811C8B3">
      <w:pPr>
        <w:numPr>
          <w:ilvl w:val="0"/>
          <w:numId w:val="15"/>
        </w:numPr>
        <w:spacing w:after="120"/>
        <w:contextualSpacing/>
        <w:jc w:val="both"/>
      </w:pPr>
      <w:r>
        <w:t xml:space="preserve">Muligheter for tilskuddsordninger </w:t>
      </w:r>
    </w:p>
    <w:p w:rsidR="00D119F6" w:rsidP="00946264" w14:paraId="6D9BAFE0" w14:textId="6D4D53AA">
      <w:pPr>
        <w:numPr>
          <w:ilvl w:val="0"/>
          <w:numId w:val="15"/>
        </w:numPr>
        <w:spacing w:after="120"/>
        <w:contextualSpacing/>
        <w:jc w:val="both"/>
      </w:pPr>
      <w:r>
        <w:t xml:space="preserve">Budsjett for utvikling, etablering og drift </w:t>
      </w:r>
    </w:p>
    <w:p w:rsidR="00D119F6" w:rsidP="00D119F6" w14:paraId="71AA7A0C" w14:textId="6C2942BC">
      <w:pPr>
        <w:spacing w:after="120"/>
        <w:jc w:val="both"/>
      </w:pPr>
      <w:r>
        <w:tab/>
      </w:r>
    </w:p>
    <w:p w:rsidR="00D119F6" w:rsidP="00D119F6" w14:paraId="34192588" w14:textId="77777777">
      <w:pPr>
        <w:spacing w:after="120"/>
        <w:jc w:val="both"/>
      </w:pPr>
      <w:r>
        <w:t xml:space="preserve">Behov i markedet </w:t>
      </w:r>
    </w:p>
    <w:p w:rsidR="00D119F6" w:rsidP="00946264" w14:paraId="43C19FF5" w14:textId="0AEF6173">
      <w:pPr>
        <w:numPr>
          <w:ilvl w:val="0"/>
          <w:numId w:val="16"/>
        </w:numPr>
        <w:spacing w:after="120"/>
        <w:ind w:left="714" w:hanging="357"/>
        <w:contextualSpacing/>
        <w:jc w:val="both"/>
      </w:pPr>
      <w:r>
        <w:t xml:space="preserve">Kartlegging av behovet gjennom dialog og samarbeid med relevante virksomheter og bransjeorganisasjoner </w:t>
      </w:r>
    </w:p>
    <w:p w:rsidR="00D119F6" w:rsidP="00946264" w14:paraId="762253C4" w14:textId="0D42DA1D">
      <w:pPr>
        <w:numPr>
          <w:ilvl w:val="0"/>
          <w:numId w:val="16"/>
        </w:numPr>
        <w:spacing w:after="120"/>
        <w:ind w:left="714" w:hanging="357"/>
        <w:contextualSpacing/>
        <w:jc w:val="both"/>
      </w:pPr>
      <w:r>
        <w:t xml:space="preserve">Beskrivelse av kompetansebehovet på kort og lang sikt </w:t>
      </w:r>
    </w:p>
    <w:p w:rsidR="00D119F6" w:rsidP="00946264" w14:paraId="1DF47746" w14:textId="21B7DB69">
      <w:pPr>
        <w:numPr>
          <w:ilvl w:val="0"/>
          <w:numId w:val="16"/>
        </w:numPr>
        <w:spacing w:after="120"/>
        <w:ind w:left="714" w:hanging="357"/>
        <w:contextualSpacing/>
        <w:jc w:val="both"/>
      </w:pPr>
      <w:r>
        <w:t xml:space="preserve">Studentgrunnlag </w:t>
      </w:r>
    </w:p>
    <w:p w:rsidR="00D119F6" w:rsidP="00946264" w14:paraId="46906FA7" w14:textId="78266250">
      <w:pPr>
        <w:numPr>
          <w:ilvl w:val="0"/>
          <w:numId w:val="16"/>
        </w:numPr>
        <w:spacing w:after="120"/>
        <w:ind w:left="714" w:hanging="357"/>
        <w:contextualSpacing/>
        <w:jc w:val="both"/>
      </w:pPr>
      <w:r>
        <w:t xml:space="preserve">Vurdering av risiko for endringer i kompetansebehovet i markedet </w:t>
      </w:r>
    </w:p>
    <w:p w:rsidR="00D119F6" w:rsidP="00D119F6" w14:paraId="2E182E7D" w14:textId="77777777">
      <w:pPr>
        <w:spacing w:after="120"/>
        <w:jc w:val="both"/>
      </w:pPr>
    </w:p>
    <w:p w:rsidR="00D119F6" w:rsidP="00D119F6" w14:paraId="6327DD8B" w14:textId="419EDCE1">
      <w:pPr>
        <w:spacing w:after="120"/>
        <w:jc w:val="both"/>
      </w:pPr>
      <w:r>
        <w:t>Utarbeidet rapport overleveres lederteamet, ved rektor</w:t>
      </w:r>
      <w:r w:rsidR="00946264">
        <w:t xml:space="preserve"> for videre beslutning</w:t>
      </w:r>
      <w:r>
        <w:t>.</w:t>
      </w:r>
    </w:p>
    <w:p w:rsidR="00D119F6" w:rsidP="00B43A58" w14:paraId="24C16BD6" w14:textId="77777777">
      <w:pPr>
        <w:spacing w:after="120"/>
      </w:pPr>
    </w:p>
    <w:p w:rsidR="007650EB" w:rsidRPr="007650EB" w:rsidP="00B43A58" w14:paraId="48C4D23F" w14:textId="5A3564BB">
      <w:pPr>
        <w:spacing w:after="120"/>
        <w:rPr>
          <w:b/>
          <w:bCs/>
        </w:rPr>
      </w:pPr>
      <w:r w:rsidRPr="007650EB">
        <w:rPr>
          <w:b/>
          <w:bCs/>
        </w:rPr>
        <w:t>5.3. Beslutningsfasen</w:t>
      </w:r>
    </w:p>
    <w:p w:rsidR="009E2798" w:rsidP="0068456C" w14:paraId="5BE6F48E" w14:textId="0E1DF57B">
      <w:pPr>
        <w:spacing w:after="120"/>
        <w:jc w:val="both"/>
      </w:pPr>
      <w:r>
        <w:t xml:space="preserve">Denne fasen er førende for om det skal arbeides videre i arbeidsgruppen. </w:t>
      </w:r>
      <w:r w:rsidR="0068456C">
        <w:t xml:space="preserve">Videre arbeider vil omfatte at det utarbeides ny studieplan eller om endring av eksisterende studieplan skal iverksettes </w:t>
      </w:r>
      <w:r>
        <w:t>(trinn 5-6 i flytskjema).</w:t>
      </w:r>
    </w:p>
    <w:p w:rsidR="0068456C" w:rsidRPr="0068456C" w:rsidP="0068456C" w14:paraId="1666C472" w14:textId="77777777">
      <w:pPr>
        <w:spacing w:after="120"/>
        <w:jc w:val="both"/>
        <w:rPr>
          <w:u w:val="single"/>
        </w:rPr>
      </w:pPr>
      <w:r w:rsidRPr="0068456C">
        <w:rPr>
          <w:u w:val="single"/>
        </w:rPr>
        <w:t xml:space="preserve">Trinn 5 - Vedtak om videre arbeid </w:t>
      </w:r>
    </w:p>
    <w:p w:rsidR="009E2798" w:rsidP="0068456C" w14:paraId="4640DE00" w14:textId="5A0F6ED4">
      <w:pPr>
        <w:spacing w:after="120"/>
        <w:jc w:val="both"/>
      </w:pPr>
      <w:r>
        <w:t>Fagskolens lederteam, ved rektor, beslutter på bakgrunn av prosjektgruppas rapport om utvikling av studieplan</w:t>
      </w:r>
      <w:r w:rsidR="0068456C">
        <w:t xml:space="preserve"> for ny utdanning eller </w:t>
      </w:r>
      <w:r>
        <w:t>ves</w:t>
      </w:r>
      <w:r w:rsidR="0068456C">
        <w:t>en</w:t>
      </w:r>
      <w:r>
        <w:t xml:space="preserve">tlig endring av studieplan </w:t>
      </w:r>
      <w:r w:rsidR="0068456C">
        <w:t xml:space="preserve">for eksisterende utdanninger </w:t>
      </w:r>
      <w:r>
        <w:t xml:space="preserve">skal legges fram for styret. </w:t>
      </w:r>
    </w:p>
    <w:p w:rsidR="007650EB" w:rsidP="0068456C" w14:paraId="1C2EF814" w14:textId="41918DDA">
      <w:pPr>
        <w:spacing w:after="120"/>
        <w:jc w:val="both"/>
      </w:pPr>
      <w:r>
        <w:t>Ved negativ beslutning orienteres initiativtaker og fagskolens styre. Ved positiv beslutning legger rektor frem saken for behandling i fagskolens styre.</w:t>
      </w:r>
    </w:p>
    <w:p w:rsidR="0068456C" w:rsidRPr="0068456C" w:rsidP="0068456C" w14:paraId="111793E2" w14:textId="77777777">
      <w:pPr>
        <w:spacing w:after="120"/>
        <w:jc w:val="both"/>
        <w:rPr>
          <w:u w:val="single"/>
        </w:rPr>
      </w:pPr>
      <w:r w:rsidRPr="0068456C">
        <w:rPr>
          <w:u w:val="single"/>
        </w:rPr>
        <w:t xml:space="preserve">Trinn 6 - Styrebehandling </w:t>
      </w:r>
    </w:p>
    <w:p w:rsidR="0068456C" w:rsidP="0068456C" w14:paraId="48E7C7AD" w14:textId="77777777">
      <w:pPr>
        <w:spacing w:after="120"/>
        <w:jc w:val="both"/>
      </w:pPr>
      <w:r w:rsidRPr="009E2798">
        <w:t xml:space="preserve">Det er fagskolens styre som kan fatte vedtak om videre utvikling av utdanningen. Ved positivt vedtak arbeider arbeidsgruppa videre med utvikling av utdanningen. </w:t>
      </w:r>
    </w:p>
    <w:p w:rsidR="009E2798" w:rsidP="0068456C" w14:paraId="186A803B" w14:textId="1D1BA724">
      <w:pPr>
        <w:spacing w:after="120"/>
        <w:jc w:val="both"/>
      </w:pPr>
      <w:r w:rsidRPr="009E2798">
        <w:t>Ved negativt vedtak i styret, orienteres initiativtakere og saken avsluttes og dokumenteres i P360.</w:t>
      </w:r>
    </w:p>
    <w:p w:rsidR="007650EB" w:rsidP="00B43A58" w14:paraId="1C7AD317" w14:textId="77777777">
      <w:pPr>
        <w:spacing w:after="120"/>
      </w:pPr>
    </w:p>
    <w:p w:rsidR="007650EB" w:rsidRPr="007650EB" w:rsidP="00B43A58" w14:paraId="41C2A4E9" w14:textId="1FD5A00C">
      <w:pPr>
        <w:spacing w:after="120"/>
        <w:rPr>
          <w:b/>
          <w:bCs/>
        </w:rPr>
      </w:pPr>
      <w:r w:rsidRPr="007650EB">
        <w:rPr>
          <w:b/>
          <w:bCs/>
        </w:rPr>
        <w:t>5.4. Utviklingsfasen</w:t>
      </w:r>
    </w:p>
    <w:p w:rsidR="008A6785" w:rsidP="004D451F" w14:paraId="18A4031D" w14:textId="671829D4">
      <w:pPr>
        <w:spacing w:after="120"/>
        <w:jc w:val="both"/>
      </w:pPr>
      <w:r>
        <w:t>Denne fasen tar for arbeidsgruppens arbeid m</w:t>
      </w:r>
      <w:r w:rsidR="004D451F">
        <w:t>ed</w:t>
      </w:r>
      <w:r>
        <w:t xml:space="preserve"> utvikling av ny studieplan, eller </w:t>
      </w:r>
      <w:r w:rsidR="004D451F">
        <w:t xml:space="preserve">arbeid med </w:t>
      </w:r>
      <w:r>
        <w:t>vesentlige endringer av utdanning innen akkreditert fagområde. Arbeidsgruppen skal også utarbeide kvalitetsgrunnlaget for utdanningen</w:t>
      </w:r>
      <w:r w:rsidR="004D451F">
        <w:t>. T</w:t>
      </w:r>
      <w:r>
        <w:t xml:space="preserve">rinn 7 </w:t>
      </w:r>
      <w:r w:rsidR="004D451F">
        <w:t>omhandler denne delen</w:t>
      </w:r>
      <w:r>
        <w:t>.</w:t>
      </w:r>
    </w:p>
    <w:p w:rsidR="00092C80" w:rsidRPr="00092C80" w:rsidP="008A6785" w14:paraId="2CA1EB78" w14:textId="77777777">
      <w:pPr>
        <w:spacing w:before="120" w:after="120"/>
        <w:jc w:val="both"/>
        <w:rPr>
          <w:u w:val="single"/>
        </w:rPr>
      </w:pPr>
      <w:r w:rsidRPr="00092C80">
        <w:rPr>
          <w:u w:val="single"/>
        </w:rPr>
        <w:t xml:space="preserve">Trinn 7 - Utarbeide studieplan og kvalitetsgrunnlag for utdanning </w:t>
      </w:r>
    </w:p>
    <w:p w:rsidR="0068456C" w:rsidP="004D451F" w14:paraId="5A247FB8" w14:textId="327E26C4">
      <w:pPr>
        <w:spacing w:after="120"/>
        <w:jc w:val="both"/>
      </w:pPr>
      <w:r>
        <w:t xml:space="preserve">Det skal utarbeides studieplanen etter krav for godkjenning av fagskoleutdanninger hentet fra Fagskoleloven kap. 2, Fagskoletilsynsforskriften kap. 2, Fagskoleforskriften kap.8, Nasjonalt kvalifiseringsrammeverk og NOKUT sine veiledere. Dersom utdanningen er regulert av nasjonale eller internasjonale standarder, konvensjoner og avtaler som Norge er forpliktet til å følge, skal disse kravene være tilfredsstilt (fagskoleforskriften § 47(4)). </w:t>
      </w:r>
    </w:p>
    <w:p w:rsidR="0068456C" w:rsidP="004D451F" w14:paraId="4544A171" w14:textId="57EDD1C4">
      <w:pPr>
        <w:spacing w:after="120"/>
        <w:jc w:val="both"/>
      </w:pPr>
      <w:r>
        <w:t xml:space="preserve">Arbeidsgruppen skal benytte </w:t>
      </w:r>
      <w:r w:rsidRPr="004D451F">
        <w:rPr>
          <w:color w:val="FF0000"/>
        </w:rPr>
        <w:t>mal K723: Mal for studieplan for utvikling av studieplan</w:t>
      </w:r>
      <w:r>
        <w:t xml:space="preserve"> og</w:t>
      </w:r>
      <w:r w:rsidR="008A6785">
        <w:t xml:space="preserve"> skjema </w:t>
      </w:r>
      <w:hyperlink r:id="rId7" w:tooltip="XDF00290" w:history="1">
        <w:r w:rsidRPr="008A6785" w:rsidR="008A6785">
          <w:rPr>
            <w:rStyle w:val="Hyperlink"/>
          </w:rPr>
          <w:fldChar w:fldCharType="begin" w:fldLock="1"/>
        </w:r>
        <w:r w:rsidRPr="008A6785" w:rsidR="008A6785">
          <w:rPr>
            <w:rStyle w:val="Hyperlink"/>
          </w:rPr>
          <w:instrText xml:space="preserve"> DOCPROPERTY XDL00290 *charformat * MERGEFORMAT </w:instrText>
        </w:r>
        <w:r w:rsidRPr="008A6785" w:rsidR="008A6785">
          <w:rPr>
            <w:rStyle w:val="Hyperlink"/>
          </w:rPr>
          <w:fldChar w:fldCharType="separate"/>
        </w:r>
        <w:r w:rsidRPr="008A6785" w:rsidR="008A6785">
          <w:rPr>
            <w:rStyle w:val="Hyperlink"/>
          </w:rPr>
          <w:t>3.7.17 Skjema for utfylling av kvalitetsgrunnlag for akkreditering av utdanninger ved akkreditert fagområde</w:t>
        </w:r>
        <w:r w:rsidRPr="008A6785" w:rsidR="008A6785">
          <w:rPr>
            <w:rStyle w:val="Hyperlink"/>
          </w:rPr>
          <w:fldChar w:fldCharType="end"/>
        </w:r>
      </w:hyperlink>
      <w:r w:rsidRPr="008A6785" w:rsidR="008A6785">
        <w:t xml:space="preserve"> </w:t>
      </w:r>
      <w:r w:rsidRPr="00584BC8">
        <w:t xml:space="preserve">. </w:t>
      </w:r>
    </w:p>
    <w:p w:rsidR="007650EB" w:rsidP="004D451F" w14:paraId="50E0A975" w14:textId="2E889051">
      <w:pPr>
        <w:spacing w:after="120"/>
        <w:jc w:val="both"/>
      </w:pPr>
      <w:r>
        <w:t xml:space="preserve">Arbeidsgruppa </w:t>
      </w:r>
      <w:r w:rsidR="005335A2">
        <w:t>over</w:t>
      </w:r>
      <w:r>
        <w:t xml:space="preserve">sender utarbeidet studieplan og kvalitetsgrunnlag </w:t>
      </w:r>
      <w:r w:rsidR="005335A2">
        <w:t xml:space="preserve">(utfylt skjema 3.7.16) </w:t>
      </w:r>
      <w:r>
        <w:t xml:space="preserve">til </w:t>
      </w:r>
      <w:r w:rsidR="008A6785">
        <w:t>kvalitetsrådgiver</w:t>
      </w:r>
      <w:r>
        <w:t xml:space="preserve"> for internkontroll.</w:t>
      </w:r>
    </w:p>
    <w:p w:rsidR="007650EB" w:rsidP="00B43A58" w14:paraId="6E79EE60" w14:textId="77777777">
      <w:pPr>
        <w:spacing w:after="120"/>
      </w:pPr>
    </w:p>
    <w:p w:rsidR="007650EB" w:rsidRPr="007650EB" w:rsidP="00B43A58" w14:paraId="633D594E" w14:textId="45DCF93A">
      <w:pPr>
        <w:spacing w:after="120"/>
        <w:rPr>
          <w:b/>
          <w:bCs/>
        </w:rPr>
      </w:pPr>
      <w:r w:rsidRPr="007650EB">
        <w:rPr>
          <w:b/>
          <w:bCs/>
        </w:rPr>
        <w:t>5.5. Internkontrollfasen</w:t>
      </w:r>
    </w:p>
    <w:p w:rsidR="00A16D98" w:rsidP="00A16D98" w14:paraId="4DAD5103" w14:textId="77777777">
      <w:pPr>
        <w:spacing w:after="120"/>
      </w:pPr>
      <w:r>
        <w:t xml:space="preserve">Under internkontrollfasen skal kvalitetsrådgiver ved THYF vurdere innholdet i studieplanen og kvalitetsgrunnlaget, opp mot fagskolens kvalitetskriterier for utdanninger, lover og forskrifter (Trinn 8 i flytskjema). </w:t>
      </w:r>
    </w:p>
    <w:p w:rsidR="00A16D98" w:rsidP="00A16D98" w14:paraId="0D09CF96" w14:textId="77777777">
      <w:pPr>
        <w:spacing w:after="120"/>
      </w:pPr>
    </w:p>
    <w:p w:rsidR="00A16D98" w:rsidRPr="00A16D98" w:rsidP="00A16D98" w14:paraId="4C6D6BC2" w14:textId="0AD09D25">
      <w:pPr>
        <w:spacing w:after="120"/>
        <w:rPr>
          <w:u w:val="single"/>
        </w:rPr>
      </w:pPr>
      <w:r w:rsidRPr="00A16D98">
        <w:rPr>
          <w:u w:val="single"/>
        </w:rPr>
        <w:t xml:space="preserve">Trinn 8 - Intern kvalitetskontroll og opprettelse av sakkyndig utvalg </w:t>
      </w:r>
    </w:p>
    <w:p w:rsidR="00A16D98" w:rsidP="00A16D98" w14:paraId="50F057D9" w14:textId="77777777">
      <w:pPr>
        <w:spacing w:after="120"/>
      </w:pPr>
      <w:r>
        <w:t xml:space="preserve">Kvalitetsrådgiver har ansvar for: </w:t>
      </w:r>
    </w:p>
    <w:p w:rsidR="00A16D98" w:rsidP="00A16D98" w14:paraId="283E244B" w14:textId="77777777">
      <w:pPr>
        <w:numPr>
          <w:ilvl w:val="0"/>
          <w:numId w:val="19"/>
        </w:numPr>
        <w:spacing w:after="120"/>
      </w:pPr>
      <w:r>
        <w:t xml:space="preserve">å kvalitetssikre at studieplanen er i samsvar med lov, forskrift og regelverk </w:t>
      </w:r>
    </w:p>
    <w:p w:rsidR="00A16D98" w:rsidP="00A16D98" w14:paraId="1D1D664E" w14:textId="353E0B24">
      <w:pPr>
        <w:numPr>
          <w:ilvl w:val="0"/>
          <w:numId w:val="19"/>
        </w:numPr>
        <w:spacing w:after="120"/>
      </w:pPr>
      <w:r>
        <w:t xml:space="preserve">at studiestedet oppfyller krav til utdanningens administrasjon og infrastruktur iht. fagskoletilsynsforskriften § 2-6. </w:t>
      </w:r>
    </w:p>
    <w:p w:rsidR="00A16D98" w:rsidP="00A16D98" w14:paraId="3DCF16B5" w14:textId="77777777">
      <w:pPr>
        <w:spacing w:after="120"/>
      </w:pPr>
      <w:r>
        <w:t xml:space="preserve">Dersom KS-leder oppdager vesentlige mangler, vil dokumentene bli sendt tilbake til arbeidsgruppen for videre arbeid. Denne prosessen gjentas til kvalitetsgrunnlaget er oppfylt. </w:t>
      </w:r>
    </w:p>
    <w:p w:rsidR="00A16D98" w:rsidP="00A16D98" w14:paraId="3B1F4348" w14:textId="77777777">
      <w:pPr>
        <w:spacing w:after="120"/>
      </w:pPr>
      <w:r>
        <w:t xml:space="preserve">Deretter sendes dokumentasjon videre til sakkyndig utvalg som oppnevnes av kvalitetsrådgiver. Kvalitetsrådgiver er ansvarlig for å legge til rette for at sakkyndig utvalg skal kunne gjøre en pedagogisk og faglig vurdering av studieplanen. </w:t>
      </w:r>
    </w:p>
    <w:p w:rsidR="00A16D98" w:rsidP="00A16D98" w14:paraId="70AD8970" w14:textId="77777777">
      <w:pPr>
        <w:spacing w:after="120"/>
      </w:pPr>
      <w:r>
        <w:t xml:space="preserve">Sakkyndig utvalg oppnevnes av KS-leder og har følgende krav: </w:t>
      </w:r>
    </w:p>
    <w:p w:rsidR="000B6115" w:rsidP="00A16D98" w14:paraId="27840A77" w14:textId="77777777">
      <w:pPr>
        <w:numPr>
          <w:ilvl w:val="0"/>
          <w:numId w:val="21"/>
        </w:numPr>
        <w:spacing w:after="120"/>
        <w:ind w:left="709" w:hanging="349"/>
      </w:pPr>
      <w:r>
        <w:t>Utvalget skal bestå av minimum 2 deltagere med kompetanse i tråd med fagskoletilsynsforskriften § 5-3.</w:t>
      </w:r>
    </w:p>
    <w:p w:rsidR="000B6115" w:rsidP="00A16D98" w14:paraId="089DE559" w14:textId="77777777">
      <w:pPr>
        <w:numPr>
          <w:ilvl w:val="0"/>
          <w:numId w:val="21"/>
        </w:numPr>
        <w:spacing w:after="120"/>
        <w:ind w:left="709" w:hanging="349"/>
      </w:pPr>
      <w:r>
        <w:t xml:space="preserve">De sakkyndige skal ikke ha deltatt i arbeidsgruppen. </w:t>
      </w:r>
    </w:p>
    <w:p w:rsidR="007650EB" w:rsidP="00A16D98" w14:paraId="584C2FD7" w14:textId="6E0D2052">
      <w:pPr>
        <w:numPr>
          <w:ilvl w:val="0"/>
          <w:numId w:val="21"/>
        </w:numPr>
        <w:spacing w:after="120"/>
        <w:ind w:left="709" w:hanging="349"/>
      </w:pPr>
      <w:r>
        <w:t>Dersom det ikke er tilstrekkelig kompetanse eller erfaring internt skal sakkyndige innhentes eksternt.</w:t>
      </w:r>
    </w:p>
    <w:p w:rsidR="007650EB" w:rsidP="00B43A58" w14:paraId="5085B378" w14:textId="77777777">
      <w:pPr>
        <w:spacing w:after="120"/>
      </w:pPr>
    </w:p>
    <w:p w:rsidR="007650EB" w:rsidRPr="007650EB" w:rsidP="000B6115" w14:paraId="4397FD4C" w14:textId="5917A2F9">
      <w:pPr>
        <w:spacing w:after="120"/>
        <w:rPr>
          <w:b/>
          <w:bCs/>
        </w:rPr>
      </w:pPr>
      <w:r w:rsidRPr="007650EB">
        <w:rPr>
          <w:b/>
          <w:bCs/>
        </w:rPr>
        <w:t>5.6. Vurderingsfasen</w:t>
      </w:r>
    </w:p>
    <w:p w:rsidR="000B6115" w:rsidRPr="00092C80" w:rsidP="000B6115" w14:paraId="00F6C021" w14:textId="77777777">
      <w:pPr>
        <w:pStyle w:val="Default"/>
        <w:spacing w:after="120"/>
        <w:jc w:val="both"/>
        <w:rPr>
          <w:rFonts w:ascii="Verdana" w:hAnsi="Verdana"/>
          <w:sz w:val="18"/>
          <w:szCs w:val="18"/>
        </w:rPr>
      </w:pPr>
      <w:r w:rsidRPr="00092C80">
        <w:rPr>
          <w:rFonts w:ascii="Verdana" w:hAnsi="Verdana"/>
          <w:sz w:val="18"/>
          <w:szCs w:val="18"/>
        </w:rPr>
        <w:t xml:space="preserve">I vurderingsfasen skal sakkyndig utvalg vurdere hvorvidt studieplan og kvalitetskriterier er oppfylt. Deretter skal lederteam ved rektor utforme en innstilling til styret for fagskolen med endelig vedtak om godkjenning av ny utdanning eller vesentlige endringer av utdanningen (Trinn 9-10 i flytskjema). </w:t>
      </w:r>
    </w:p>
    <w:p w:rsidR="000B6115" w:rsidRPr="00092C80" w:rsidP="000B6115" w14:paraId="15355D26" w14:textId="77777777">
      <w:pPr>
        <w:pStyle w:val="Default"/>
        <w:spacing w:after="120"/>
        <w:jc w:val="both"/>
        <w:rPr>
          <w:rFonts w:ascii="Verdana" w:hAnsi="Verdana"/>
          <w:sz w:val="18"/>
          <w:szCs w:val="18"/>
        </w:rPr>
      </w:pPr>
    </w:p>
    <w:p w:rsidR="000B6115" w:rsidRPr="000B6115" w:rsidP="000B6115" w14:paraId="28B2B4A8" w14:textId="77777777">
      <w:pPr>
        <w:pStyle w:val="Default"/>
        <w:spacing w:after="120"/>
        <w:jc w:val="both"/>
        <w:rPr>
          <w:rFonts w:ascii="Verdana" w:hAnsi="Verdana"/>
          <w:color w:val="233E5F"/>
          <w:sz w:val="18"/>
          <w:szCs w:val="18"/>
          <w:u w:val="single"/>
        </w:rPr>
      </w:pPr>
      <w:r w:rsidRPr="000B6115">
        <w:rPr>
          <w:rFonts w:ascii="Verdana" w:hAnsi="Verdana"/>
          <w:color w:val="233E5F"/>
          <w:sz w:val="18"/>
          <w:szCs w:val="18"/>
          <w:u w:val="single"/>
        </w:rPr>
        <w:t>Trinn 9 - Sakkyndig vurdering</w:t>
      </w:r>
    </w:p>
    <w:p w:rsidR="000B6115" w:rsidRPr="00092C80" w:rsidP="005335A2" w14:paraId="1EEB33F3" w14:textId="1A17EDD4">
      <w:pPr>
        <w:pStyle w:val="Default"/>
        <w:spacing w:after="120"/>
        <w:jc w:val="both"/>
        <w:rPr>
          <w:rFonts w:ascii="Verdana" w:hAnsi="Verdana"/>
          <w:sz w:val="18"/>
          <w:szCs w:val="18"/>
        </w:rPr>
      </w:pPr>
      <w:r w:rsidRPr="00092C80">
        <w:rPr>
          <w:rFonts w:ascii="Verdana" w:hAnsi="Verdana"/>
          <w:sz w:val="18"/>
          <w:szCs w:val="18"/>
        </w:rPr>
        <w:t xml:space="preserve">Sakkyndig utvalg skal i tråd med fagskoleloven, fagskoletilsynsforskriften og fagskoleforskriften vurdere utdanningen. </w:t>
      </w:r>
      <w:r w:rsidR="005335A2">
        <w:rPr>
          <w:rFonts w:ascii="Verdana" w:hAnsi="Verdana"/>
          <w:sz w:val="18"/>
          <w:szCs w:val="18"/>
        </w:rPr>
        <w:t xml:space="preserve">Utvalget </w:t>
      </w:r>
      <w:r w:rsidRPr="00092C80">
        <w:rPr>
          <w:rFonts w:ascii="Verdana" w:hAnsi="Verdana"/>
          <w:sz w:val="18"/>
          <w:szCs w:val="18"/>
        </w:rPr>
        <w:t>skal dokumentere sitt arbeid i form av en rapport</w:t>
      </w:r>
      <w:r w:rsidRPr="00DA6F54">
        <w:rPr>
          <w:rFonts w:ascii="Verdana" w:hAnsi="Verdana"/>
          <w:sz w:val="18"/>
          <w:szCs w:val="18"/>
        </w:rPr>
        <w:t>.</w:t>
      </w:r>
      <w:r>
        <w:rPr>
          <w:rFonts w:ascii="Verdana" w:hAnsi="Verdana"/>
          <w:sz w:val="18"/>
          <w:szCs w:val="18"/>
        </w:rPr>
        <w:t xml:space="preserve"> Rapporten skrives på skjema</w:t>
      </w:r>
      <w:r w:rsidRPr="00DA6F54">
        <w:rPr>
          <w:rFonts w:ascii="Verdana" w:hAnsi="Verdana"/>
          <w:sz w:val="18"/>
          <w:szCs w:val="18"/>
        </w:rPr>
        <w:t xml:space="preserve"> </w:t>
      </w:r>
      <w:hyperlink r:id="rId8" w:tooltip="XDF00291" w:history="1">
        <w:r w:rsidRPr="00DA6F54">
          <w:rPr>
            <w:rStyle w:val="Hyperlink"/>
            <w:rFonts w:ascii="Verdana" w:hAnsi="Verdana"/>
            <w:sz w:val="18"/>
            <w:szCs w:val="18"/>
          </w:rPr>
          <w:fldChar w:fldCharType="begin" w:fldLock="1"/>
        </w:r>
        <w:r w:rsidRPr="00DA6F54">
          <w:rPr>
            <w:rStyle w:val="Hyperlink"/>
            <w:rFonts w:ascii="Verdana" w:hAnsi="Verdana"/>
            <w:sz w:val="18"/>
            <w:szCs w:val="18"/>
          </w:rPr>
          <w:instrText xml:space="preserve"> DOCPROPERTY XDL00291 *charformat * MERGEFORMAT </w:instrText>
        </w:r>
        <w:r w:rsidRPr="00DA6F54">
          <w:rPr>
            <w:rStyle w:val="Hyperlink"/>
            <w:rFonts w:ascii="Verdana" w:hAnsi="Verdana"/>
            <w:sz w:val="18"/>
            <w:szCs w:val="18"/>
          </w:rPr>
          <w:fldChar w:fldCharType="separate"/>
        </w:r>
        <w:r w:rsidRPr="00DA6F54">
          <w:rPr>
            <w:rStyle w:val="Hyperlink"/>
            <w:rFonts w:ascii="Verdana" w:hAnsi="Verdana"/>
            <w:sz w:val="18"/>
            <w:szCs w:val="18"/>
          </w:rPr>
          <w:t>3.7.18 Rapport med innstilling fra sakkyndig utvalg for akkrediterte fagområder</w:t>
        </w:r>
        <w:r w:rsidRPr="00DA6F54">
          <w:rPr>
            <w:rStyle w:val="Hyperlink"/>
            <w:rFonts w:ascii="Verdana" w:hAnsi="Verdana"/>
            <w:sz w:val="18"/>
            <w:szCs w:val="18"/>
          </w:rPr>
          <w:fldChar w:fldCharType="end"/>
        </w:r>
      </w:hyperlink>
      <w:r w:rsidRPr="00092C80">
        <w:rPr>
          <w:rFonts w:ascii="Verdana" w:hAnsi="Verdana"/>
          <w:i/>
          <w:iCs/>
          <w:sz w:val="18"/>
          <w:szCs w:val="18"/>
        </w:rPr>
        <w:t xml:space="preserve">. </w:t>
      </w:r>
      <w:r w:rsidRPr="00092C80">
        <w:rPr>
          <w:rFonts w:ascii="Verdana" w:hAnsi="Verdana"/>
          <w:sz w:val="18"/>
          <w:szCs w:val="18"/>
        </w:rPr>
        <w:t>Hvis sakkyndig utvalg finner mangler ved kvalitetsgrunnlaget skal, skal dokumentasjonen sendes tilbake til arbeidsgruppen og trinn 7, for ny prosess. Arbeidsgruppen må deretter gjøre nødvendige endringer iht. tilbakemelding. Når sakkyndig utvalg godkjenner underlaget, skal rapporten sendes videre til rektor.</w:t>
      </w:r>
    </w:p>
    <w:p w:rsidR="000B6115" w:rsidP="000B6115" w14:paraId="1C9D8008" w14:textId="77777777">
      <w:pPr>
        <w:pStyle w:val="Default"/>
        <w:spacing w:after="120"/>
        <w:jc w:val="both"/>
        <w:rPr>
          <w:rFonts w:ascii="Verdana" w:hAnsi="Verdana"/>
          <w:color w:val="233E5F"/>
          <w:sz w:val="18"/>
          <w:szCs w:val="18"/>
        </w:rPr>
      </w:pPr>
    </w:p>
    <w:p w:rsidR="000B6115" w:rsidRPr="000B6115" w:rsidP="000B6115" w14:paraId="7CFE2488" w14:textId="2D75D5F2">
      <w:pPr>
        <w:pStyle w:val="Default"/>
        <w:spacing w:after="120"/>
        <w:jc w:val="both"/>
        <w:rPr>
          <w:rFonts w:ascii="Verdana" w:hAnsi="Verdana"/>
          <w:color w:val="233E5F"/>
          <w:sz w:val="18"/>
          <w:szCs w:val="18"/>
          <w:u w:val="single"/>
        </w:rPr>
      </w:pPr>
      <w:r w:rsidRPr="000B6115">
        <w:rPr>
          <w:rFonts w:ascii="Verdana" w:hAnsi="Verdana"/>
          <w:color w:val="233E5F"/>
          <w:sz w:val="18"/>
          <w:szCs w:val="18"/>
          <w:u w:val="single"/>
        </w:rPr>
        <w:t>Trinn 10 - Innstilling til styret</w:t>
      </w:r>
    </w:p>
    <w:p w:rsidR="000B6115" w:rsidRPr="00092C80" w:rsidP="000B6115" w14:paraId="3E98B22C" w14:textId="75093333">
      <w:pPr>
        <w:pStyle w:val="Default"/>
        <w:spacing w:after="120"/>
        <w:jc w:val="both"/>
        <w:rPr>
          <w:rFonts w:ascii="Verdana" w:hAnsi="Verdana"/>
          <w:sz w:val="18"/>
          <w:szCs w:val="18"/>
        </w:rPr>
      </w:pPr>
      <w:r w:rsidRPr="00092C80">
        <w:rPr>
          <w:rFonts w:ascii="Verdana" w:hAnsi="Verdana"/>
          <w:sz w:val="18"/>
          <w:szCs w:val="18"/>
        </w:rPr>
        <w:t>Rektor utarbeider en innstilling til styret, inkludert en administrativ vurdering. Dersom innstillingen omhandler etablering av ny utdanning, må vedtaket inneholde plan for finansiering og opprettelse av studietilbudet. Dokumentasjon fra sakkyndig utvalg skal følge innstillingen.</w:t>
      </w:r>
    </w:p>
    <w:p w:rsidR="007650EB" w:rsidP="00B43A58" w14:paraId="13FAE240" w14:textId="77777777">
      <w:pPr>
        <w:spacing w:after="120"/>
      </w:pPr>
    </w:p>
    <w:p w:rsidR="007650EB" w:rsidRPr="00B43A58" w:rsidP="00B43A58" w14:paraId="4AA41EB7" w14:textId="2011A33B">
      <w:pPr>
        <w:spacing w:after="120"/>
        <w:rPr>
          <w:b/>
          <w:bCs/>
        </w:rPr>
      </w:pPr>
      <w:r>
        <w:rPr>
          <w:b/>
          <w:bCs/>
        </w:rPr>
        <w:br w:type="page"/>
      </w:r>
      <w:r w:rsidRPr="00B43A58" w:rsidR="00CA666C">
        <w:rPr>
          <w:b/>
          <w:bCs/>
        </w:rPr>
        <w:t>5.7. Vedtaksfasen</w:t>
      </w:r>
    </w:p>
    <w:p w:rsidR="000B6115" w:rsidP="000B6115" w14:paraId="1EFBCE38" w14:textId="7EDCEBDE">
      <w:pPr>
        <w:pStyle w:val="Default"/>
        <w:spacing w:after="120"/>
        <w:jc w:val="both"/>
        <w:rPr>
          <w:rFonts w:ascii="Verdana" w:hAnsi="Verdana"/>
          <w:sz w:val="18"/>
          <w:szCs w:val="18"/>
        </w:rPr>
      </w:pPr>
      <w:r w:rsidRPr="00092C80">
        <w:rPr>
          <w:rFonts w:ascii="Verdana" w:hAnsi="Verdana"/>
          <w:sz w:val="18"/>
          <w:szCs w:val="18"/>
        </w:rPr>
        <w:t xml:space="preserve">I vedtaksfasen skal styret ved fagskolen fatte et vedtak om ny utdanning eller vesentlig endring. Ved positivt vedtak skal </w:t>
      </w:r>
      <w:r>
        <w:rPr>
          <w:rFonts w:ascii="Verdana" w:hAnsi="Verdana"/>
          <w:sz w:val="18"/>
          <w:szCs w:val="18"/>
        </w:rPr>
        <w:t>kvalitetsrådgiver</w:t>
      </w:r>
      <w:r w:rsidRPr="00092C80">
        <w:rPr>
          <w:rFonts w:ascii="Verdana" w:hAnsi="Verdana"/>
          <w:sz w:val="18"/>
          <w:szCs w:val="18"/>
        </w:rPr>
        <w:t xml:space="preserve"> melde dette til NOKUT jf. Fagskoletilsynsforskriften §5-1(2) (Trinn 11-12 i flytskjema). </w:t>
      </w:r>
    </w:p>
    <w:p w:rsidR="009F72A1" w:rsidP="000B6115" w14:paraId="7604E9EC" w14:textId="77777777">
      <w:pPr>
        <w:pStyle w:val="Default"/>
        <w:spacing w:after="120"/>
        <w:jc w:val="both"/>
        <w:rPr>
          <w:rFonts w:ascii="Verdana" w:hAnsi="Verdana"/>
          <w:sz w:val="18"/>
          <w:szCs w:val="18"/>
        </w:rPr>
      </w:pPr>
    </w:p>
    <w:p w:rsidR="000B6115" w:rsidRPr="000B6115" w:rsidP="000B6115" w14:paraId="2DE6C9BE" w14:textId="143A79D5">
      <w:pPr>
        <w:pStyle w:val="Default"/>
        <w:spacing w:after="120"/>
        <w:jc w:val="both"/>
        <w:rPr>
          <w:rFonts w:ascii="Verdana" w:hAnsi="Verdana"/>
          <w:color w:val="233E5F"/>
          <w:sz w:val="18"/>
          <w:szCs w:val="18"/>
          <w:u w:val="single"/>
        </w:rPr>
      </w:pPr>
      <w:r w:rsidRPr="000B6115">
        <w:rPr>
          <w:rFonts w:ascii="Verdana" w:hAnsi="Verdana"/>
          <w:color w:val="233E5F"/>
          <w:sz w:val="18"/>
          <w:szCs w:val="18"/>
          <w:u w:val="single"/>
        </w:rPr>
        <w:t xml:space="preserve">Trinn 11 – Vedtaket </w:t>
      </w:r>
    </w:p>
    <w:p w:rsidR="000B6115" w:rsidRPr="00092C80" w:rsidP="000B6115" w14:paraId="3D22EBB9" w14:textId="153406A4">
      <w:pPr>
        <w:pStyle w:val="Default"/>
        <w:spacing w:after="120"/>
        <w:jc w:val="both"/>
        <w:rPr>
          <w:rFonts w:ascii="Verdana" w:hAnsi="Verdana"/>
          <w:sz w:val="18"/>
          <w:szCs w:val="18"/>
        </w:rPr>
      </w:pPr>
      <w:r w:rsidRPr="00092C80">
        <w:rPr>
          <w:rFonts w:ascii="Verdana" w:hAnsi="Verdana"/>
          <w:sz w:val="18"/>
          <w:szCs w:val="18"/>
        </w:rPr>
        <w:t xml:space="preserve">Styret for </w:t>
      </w:r>
      <w:r>
        <w:rPr>
          <w:rFonts w:ascii="Verdana" w:hAnsi="Verdana"/>
          <w:sz w:val="18"/>
          <w:szCs w:val="18"/>
        </w:rPr>
        <w:t>Trøndelag høyere yrkesfagskole</w:t>
      </w:r>
      <w:r w:rsidRPr="00092C80">
        <w:rPr>
          <w:rFonts w:ascii="Verdana" w:hAnsi="Verdana"/>
          <w:sz w:val="18"/>
          <w:szCs w:val="18"/>
        </w:rPr>
        <w:t xml:space="preserve"> er ansvarlig for kvaliteten i utdanningen</w:t>
      </w:r>
      <w:r>
        <w:rPr>
          <w:rFonts w:ascii="Verdana" w:hAnsi="Verdana"/>
          <w:sz w:val="18"/>
          <w:szCs w:val="18"/>
        </w:rPr>
        <w:t>. E</w:t>
      </w:r>
      <w:r w:rsidRPr="00092C80">
        <w:rPr>
          <w:rFonts w:ascii="Verdana" w:hAnsi="Verdana"/>
          <w:sz w:val="18"/>
          <w:szCs w:val="18"/>
        </w:rPr>
        <w:t xml:space="preserve">tter innstilling fra rektor gjør </w:t>
      </w:r>
      <w:r>
        <w:rPr>
          <w:rFonts w:ascii="Verdana" w:hAnsi="Verdana"/>
          <w:sz w:val="18"/>
          <w:szCs w:val="18"/>
        </w:rPr>
        <w:t xml:space="preserve">styret et </w:t>
      </w:r>
      <w:r w:rsidRPr="00092C80">
        <w:rPr>
          <w:rFonts w:ascii="Verdana" w:hAnsi="Verdana"/>
          <w:sz w:val="18"/>
          <w:szCs w:val="18"/>
        </w:rPr>
        <w:t>endelig vedtak om ny utdanning</w:t>
      </w:r>
      <w:r>
        <w:rPr>
          <w:rFonts w:ascii="Verdana" w:hAnsi="Verdana"/>
          <w:sz w:val="18"/>
          <w:szCs w:val="18"/>
        </w:rPr>
        <w:t>. Tilsvarende vedtak gjøres for</w:t>
      </w:r>
      <w:r w:rsidRPr="00092C80">
        <w:rPr>
          <w:rFonts w:ascii="Verdana" w:hAnsi="Verdana"/>
          <w:sz w:val="18"/>
          <w:szCs w:val="18"/>
        </w:rPr>
        <w:t xml:space="preserve"> vesentlig endringer i </w:t>
      </w:r>
      <w:r>
        <w:rPr>
          <w:rFonts w:ascii="Verdana" w:hAnsi="Verdana"/>
          <w:sz w:val="18"/>
          <w:szCs w:val="18"/>
        </w:rPr>
        <w:t xml:space="preserve">eksisterende </w:t>
      </w:r>
      <w:r w:rsidRPr="00092C80">
        <w:rPr>
          <w:rFonts w:ascii="Verdana" w:hAnsi="Verdana"/>
          <w:sz w:val="18"/>
          <w:szCs w:val="18"/>
        </w:rPr>
        <w:t xml:space="preserve">utdanninger. </w:t>
      </w:r>
    </w:p>
    <w:p w:rsidR="000B6115" w:rsidRPr="00092C80" w:rsidP="000B6115" w14:paraId="7FB9E694" w14:textId="7FE2E57A">
      <w:pPr>
        <w:pStyle w:val="Default"/>
        <w:spacing w:after="120"/>
        <w:jc w:val="both"/>
        <w:rPr>
          <w:rFonts w:ascii="Verdana" w:hAnsi="Verdana"/>
          <w:sz w:val="18"/>
          <w:szCs w:val="18"/>
        </w:rPr>
      </w:pPr>
      <w:r w:rsidRPr="00092C80">
        <w:rPr>
          <w:rFonts w:ascii="Verdana" w:hAnsi="Verdana"/>
          <w:sz w:val="18"/>
          <w:szCs w:val="18"/>
        </w:rPr>
        <w:t xml:space="preserve">Fagskolestyrets beslutningsgrunnlag er: </w:t>
      </w:r>
    </w:p>
    <w:p w:rsidR="000B6115" w:rsidRPr="00092C80" w:rsidP="000B6115" w14:paraId="313346AF" w14:textId="77777777">
      <w:pPr>
        <w:pStyle w:val="Default"/>
        <w:numPr>
          <w:ilvl w:val="0"/>
          <w:numId w:val="22"/>
        </w:numPr>
        <w:spacing w:after="120"/>
        <w:jc w:val="both"/>
        <w:rPr>
          <w:rFonts w:ascii="Verdana" w:hAnsi="Verdana"/>
          <w:sz w:val="18"/>
          <w:szCs w:val="18"/>
        </w:rPr>
      </w:pPr>
      <w:r w:rsidRPr="00092C80">
        <w:rPr>
          <w:rFonts w:ascii="Verdana" w:hAnsi="Verdana"/>
          <w:sz w:val="18"/>
          <w:szCs w:val="18"/>
        </w:rPr>
        <w:t xml:space="preserve">Rektor sin innstilling og administrative vurdering </w:t>
      </w:r>
    </w:p>
    <w:p w:rsidR="000B6115" w:rsidRPr="00092C80" w:rsidP="000B6115" w14:paraId="172B70EF" w14:textId="77777777">
      <w:pPr>
        <w:pStyle w:val="Default"/>
        <w:numPr>
          <w:ilvl w:val="0"/>
          <w:numId w:val="22"/>
        </w:numPr>
        <w:spacing w:after="120"/>
        <w:jc w:val="both"/>
        <w:rPr>
          <w:rFonts w:ascii="Verdana" w:hAnsi="Verdana"/>
          <w:sz w:val="18"/>
          <w:szCs w:val="18"/>
        </w:rPr>
      </w:pPr>
      <w:r w:rsidRPr="00092C80">
        <w:rPr>
          <w:rFonts w:ascii="Verdana" w:hAnsi="Verdana"/>
          <w:sz w:val="18"/>
          <w:szCs w:val="18"/>
        </w:rPr>
        <w:t xml:space="preserve">Sakkyndig rapport </w:t>
      </w:r>
    </w:p>
    <w:p w:rsidR="000B6115" w:rsidRPr="00092C80" w:rsidP="000B6115" w14:paraId="78982DA1" w14:textId="77777777">
      <w:pPr>
        <w:pStyle w:val="Default"/>
        <w:numPr>
          <w:ilvl w:val="0"/>
          <w:numId w:val="22"/>
        </w:numPr>
        <w:spacing w:after="120"/>
        <w:jc w:val="both"/>
        <w:rPr>
          <w:rFonts w:ascii="Verdana" w:hAnsi="Verdana"/>
          <w:sz w:val="18"/>
          <w:szCs w:val="18"/>
        </w:rPr>
      </w:pPr>
      <w:r w:rsidRPr="00092C80">
        <w:rPr>
          <w:rFonts w:ascii="Verdana" w:hAnsi="Verdana"/>
          <w:sz w:val="18"/>
          <w:szCs w:val="18"/>
        </w:rPr>
        <w:t xml:space="preserve">Studieplan </w:t>
      </w:r>
    </w:p>
    <w:p w:rsidR="000B6115" w:rsidRPr="00092C80" w:rsidP="000B6115" w14:paraId="011B6B29" w14:textId="77777777">
      <w:pPr>
        <w:pStyle w:val="Default"/>
        <w:numPr>
          <w:ilvl w:val="0"/>
          <w:numId w:val="22"/>
        </w:numPr>
        <w:spacing w:after="120"/>
        <w:jc w:val="both"/>
        <w:rPr>
          <w:rFonts w:ascii="Verdana" w:hAnsi="Verdana"/>
          <w:sz w:val="18"/>
          <w:szCs w:val="18"/>
        </w:rPr>
      </w:pPr>
      <w:r w:rsidRPr="00092C80">
        <w:rPr>
          <w:rFonts w:ascii="Verdana" w:hAnsi="Verdana"/>
          <w:sz w:val="18"/>
          <w:szCs w:val="18"/>
        </w:rPr>
        <w:t xml:space="preserve">Kvalitetsgrunnlaget utformet av arbeidsgruppa </w:t>
      </w:r>
    </w:p>
    <w:p w:rsidR="007650EB" w:rsidP="000B6115" w14:paraId="4A9CA804" w14:textId="77777777">
      <w:pPr>
        <w:spacing w:after="120"/>
      </w:pPr>
    </w:p>
    <w:p w:rsidR="000B6115" w:rsidRPr="000B6115" w:rsidP="000B6115" w14:paraId="0C63FDFB" w14:textId="01C7FBF6">
      <w:pPr>
        <w:spacing w:after="120"/>
        <w:jc w:val="both"/>
        <w:rPr>
          <w:color w:val="233E5F"/>
          <w:szCs w:val="18"/>
          <w:u w:val="single"/>
        </w:rPr>
      </w:pPr>
      <w:r w:rsidRPr="000B6115">
        <w:rPr>
          <w:color w:val="233E5F"/>
          <w:szCs w:val="18"/>
          <w:u w:val="single"/>
        </w:rPr>
        <w:t xml:space="preserve">Trinn 12 </w:t>
      </w:r>
      <w:r w:rsidR="009F72A1">
        <w:rPr>
          <w:color w:val="233E5F"/>
          <w:szCs w:val="18"/>
          <w:u w:val="single"/>
        </w:rPr>
        <w:t>–</w:t>
      </w:r>
      <w:r w:rsidRPr="000B6115">
        <w:rPr>
          <w:color w:val="233E5F"/>
          <w:szCs w:val="18"/>
          <w:u w:val="single"/>
        </w:rPr>
        <w:t xml:space="preserve"> </w:t>
      </w:r>
      <w:r w:rsidR="009F72A1">
        <w:rPr>
          <w:color w:val="233E5F"/>
          <w:szCs w:val="18"/>
          <w:u w:val="single"/>
        </w:rPr>
        <w:t>Godkjenning og a</w:t>
      </w:r>
      <w:r w:rsidRPr="000B6115">
        <w:rPr>
          <w:color w:val="233E5F"/>
          <w:szCs w:val="18"/>
          <w:u w:val="single"/>
        </w:rPr>
        <w:t>kkrediter</w:t>
      </w:r>
      <w:r w:rsidR="009F72A1">
        <w:rPr>
          <w:color w:val="233E5F"/>
          <w:szCs w:val="18"/>
          <w:u w:val="single"/>
        </w:rPr>
        <w:t>ing av ny</w:t>
      </w:r>
      <w:r w:rsidRPr="000B6115">
        <w:rPr>
          <w:color w:val="233E5F"/>
          <w:szCs w:val="18"/>
          <w:u w:val="single"/>
        </w:rPr>
        <w:t xml:space="preserve"> utdanning</w:t>
      </w:r>
      <w:r w:rsidR="009F72A1">
        <w:rPr>
          <w:color w:val="233E5F"/>
          <w:szCs w:val="18"/>
          <w:u w:val="single"/>
        </w:rPr>
        <w:t xml:space="preserve"> eller vesentlig endring av utdanning</w:t>
      </w:r>
      <w:r w:rsidRPr="000B6115">
        <w:rPr>
          <w:color w:val="233E5F"/>
          <w:szCs w:val="18"/>
          <w:u w:val="single"/>
        </w:rPr>
        <w:t xml:space="preserve"> </w:t>
      </w:r>
    </w:p>
    <w:p w:rsidR="000B6115" w:rsidP="000B6115" w14:paraId="6B9E53A8" w14:textId="77D63A66">
      <w:pPr>
        <w:spacing w:after="120"/>
        <w:jc w:val="both"/>
        <w:rPr>
          <w:szCs w:val="18"/>
        </w:rPr>
      </w:pPr>
      <w:r w:rsidRPr="00092C80">
        <w:rPr>
          <w:szCs w:val="18"/>
        </w:rPr>
        <w:t xml:space="preserve">Når styret har godkjent utdanningen, eller vesentlig endring av utdanningen, </w:t>
      </w:r>
      <w:r w:rsidR="0081480B">
        <w:rPr>
          <w:szCs w:val="18"/>
        </w:rPr>
        <w:t>sen</w:t>
      </w:r>
      <w:r w:rsidRPr="00092C80">
        <w:rPr>
          <w:szCs w:val="18"/>
        </w:rPr>
        <w:t xml:space="preserve">der </w:t>
      </w:r>
      <w:r>
        <w:rPr>
          <w:szCs w:val="18"/>
        </w:rPr>
        <w:t>kvalitetsrådgiver</w:t>
      </w:r>
      <w:r w:rsidRPr="00092C80">
        <w:rPr>
          <w:szCs w:val="18"/>
        </w:rPr>
        <w:t xml:space="preserve"> </w:t>
      </w:r>
      <w:r w:rsidR="0081480B">
        <w:rPr>
          <w:szCs w:val="18"/>
        </w:rPr>
        <w:t xml:space="preserve">melding om vedtaket </w:t>
      </w:r>
      <w:r w:rsidRPr="00092C80">
        <w:rPr>
          <w:szCs w:val="18"/>
        </w:rPr>
        <w:t>til NOKUT, jf</w:t>
      </w:r>
      <w:r w:rsidR="0081480B">
        <w:rPr>
          <w:szCs w:val="18"/>
        </w:rPr>
        <w:t>r</w:t>
      </w:r>
      <w:r w:rsidRPr="00092C80">
        <w:rPr>
          <w:szCs w:val="18"/>
        </w:rPr>
        <w:t>. Fagskoletilsynsforskriften §5-1(2).</w:t>
      </w:r>
    </w:p>
    <w:p w:rsidR="007650EB" w:rsidP="000B6115" w14:paraId="016B5110" w14:textId="77777777">
      <w:pPr>
        <w:spacing w:after="120"/>
      </w:pPr>
    </w:p>
    <w:p w:rsidR="00B86626" w:rsidRPr="009F7EB5" w:rsidP="007650EB" w14:paraId="1ED6C585" w14:textId="1BC82179">
      <w:pPr>
        <w:pStyle w:val="Heading1"/>
        <w:numPr>
          <w:ilvl w:val="0"/>
          <w:numId w:val="3"/>
        </w:numPr>
        <w:spacing w:after="120"/>
        <w:ind w:left="360"/>
      </w:pPr>
      <w:r w:rsidRPr="009F7EB5">
        <w:t>Referanser</w:t>
      </w:r>
    </w:p>
    <w:p w:rsidR="00A42B73" w:rsidP="007650EB" w14:paraId="67FECD11" w14:textId="77777777">
      <w:pPr>
        <w:spacing w:after="120"/>
        <w:ind w:left="66"/>
      </w:pPr>
      <w:r w:rsidRPr="00F9677E">
        <w:rPr>
          <w:i/>
          <w:iCs/>
        </w:rPr>
        <w:t>Kryssreferanser</w:t>
      </w:r>
      <w:r>
        <w:t xml:space="preserve"> henviser til dokumenter som finnes i THYFs ledelsessystem. </w:t>
      </w:r>
      <w:r w:rsidRPr="00F65CB0">
        <w:rPr>
          <w:i/>
          <w:iCs/>
        </w:rPr>
        <w:t>Eksterne referanser</w:t>
      </w:r>
      <w:r>
        <w:t xml:space="preserve"> henviser til dokumenter som ligger tilgjengelig utenfor ledelsessystemet.</w:t>
      </w:r>
    </w:p>
    <w:p w:rsidR="001C0FFA" w:rsidP="007650EB" w14:paraId="02699B6C" w14:textId="6169EBF5">
      <w:pPr>
        <w:spacing w:after="120"/>
        <w:ind w:left="66"/>
      </w:pPr>
      <w:r>
        <w:t>Referanse</w:t>
      </w:r>
      <w:r w:rsidR="00F26C4C">
        <w:t>r</w:t>
      </w:r>
      <w:r>
        <w:t xml:space="preserve"> utgjør viktige systemforbindelser til relaterte dokumenter, skjema, prosessflytdiagram</w:t>
      </w:r>
      <w:r w:rsidR="00F26C4C">
        <w:t>, nettsteder,</w:t>
      </w:r>
      <w:r>
        <w:t xml:space="preserve"> eller annen relevant informasjon</w:t>
      </w:r>
      <w:r w:rsidR="00F26C4C">
        <w:t xml:space="preserve"> som for eksempel lover, forskrifter og standarder</w:t>
      </w:r>
      <w:r>
        <w:t>.</w:t>
      </w:r>
    </w:p>
    <w:p w:rsidR="009F7EB5" w:rsidRPr="00CF0617" w:rsidP="007650EB" w14:paraId="259E6A4C" w14:textId="77777777">
      <w:pPr>
        <w:spacing w:after="120"/>
        <w:rPr>
          <w:szCs w:val="18"/>
        </w:rPr>
      </w:pPr>
    </w:p>
    <w:p w:rsidR="001C0FFA" w:rsidP="007650EB" w14:paraId="02699B6D" w14:textId="77777777">
      <w:pPr>
        <w:pStyle w:val="Heading2"/>
        <w:numPr>
          <w:ilvl w:val="0"/>
          <w:numId w:val="6"/>
        </w:numPr>
        <w:ind w:left="491" w:hanging="491"/>
      </w:pPr>
      <w:r w:rsidRPr="007D26B5">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2"/>
        <w:gridCol w:w="69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tcPr>
          <w:p w:rsidP="007650EB">
            <w:pPr>
              <w:numPr>
                <w:ilvl w:val="0"/>
                <w:numId w:val="0"/>
              </w:numPr>
              <w:rPr>
                <w:b w:val="0"/>
                <w:color w:val="0000FF"/>
                <w:u w:val="single"/>
              </w:rPr>
            </w:pPr>
            <w:bookmarkStart w:id="2" w:name="EK_Referanse"/>
            <w:hyperlink r:id="rId9" w:history="1">
              <w:r>
                <w:rPr>
                  <w:b w:val="0"/>
                  <w:color w:val="0000FF"/>
                  <w:u w:val="single"/>
                </w:rPr>
                <w:t>2.1.1</w:t>
              </w:r>
            </w:hyperlink>
          </w:p>
        </w:tc>
        <w:tc>
          <w:tcPr>
            <w:tcW w:w="3750" w:type="pct"/>
            <w:tcBorders>
              <w:top w:val="nil"/>
              <w:left w:val="nil"/>
              <w:bottom w:val="nil"/>
              <w:right w:val="nil"/>
            </w:tcBorders>
          </w:tcPr>
          <w:p w:rsidP="007650EB">
            <w:pPr>
              <w:numPr>
                <w:ilvl w:val="0"/>
                <w:numId w:val="0"/>
              </w:numPr>
              <w:rPr>
                <w:b w:val="0"/>
                <w:color w:val="0000FF"/>
                <w:u w:val="single"/>
              </w:rPr>
            </w:pPr>
            <w:hyperlink r:id="rId9" w:history="1">
              <w:r>
                <w:rPr>
                  <w:b w:val="0"/>
                  <w:color w:val="0000FF"/>
                  <w:u w:val="single"/>
                </w:rPr>
                <w:t>Revisjon eksisterende studieplaner</w:t>
              </w:r>
            </w:hyperlink>
          </w:p>
        </w:tc>
      </w:tr>
      <w:tr>
        <w:tblPrEx>
          <w:tblW w:w="5000" w:type="pct"/>
          <w:tblCellMar>
            <w:left w:w="108" w:type="dxa"/>
            <w:right w:w="108" w:type="dxa"/>
          </w:tblCellMar>
        </w:tblPrEx>
        <w:tc>
          <w:tcPr>
            <w:tcW w:w="1250" w:type="pct"/>
            <w:tcBorders>
              <w:top w:val="nil"/>
              <w:left w:val="nil"/>
              <w:bottom w:val="nil"/>
              <w:right w:val="nil"/>
            </w:tcBorders>
          </w:tcPr>
          <w:p w:rsidP="007650EB">
            <w:pPr>
              <w:numPr>
                <w:ilvl w:val="0"/>
                <w:numId w:val="0"/>
              </w:numPr>
              <w:rPr>
                <w:b w:val="0"/>
                <w:color w:val="0000FF"/>
                <w:u w:val="single"/>
              </w:rPr>
            </w:pPr>
            <w:hyperlink r:id="rId7" w:history="1">
              <w:r>
                <w:rPr>
                  <w:b w:val="0"/>
                  <w:color w:val="0000FF"/>
                  <w:u w:val="single"/>
                </w:rPr>
                <w:t>3.7.17</w:t>
              </w:r>
            </w:hyperlink>
          </w:p>
        </w:tc>
        <w:tc>
          <w:tcPr>
            <w:tcW w:w="3750" w:type="pct"/>
            <w:tcBorders>
              <w:top w:val="nil"/>
              <w:left w:val="nil"/>
              <w:bottom w:val="nil"/>
              <w:right w:val="nil"/>
            </w:tcBorders>
          </w:tcPr>
          <w:p w:rsidP="007650EB">
            <w:pPr>
              <w:numPr>
                <w:ilvl w:val="0"/>
                <w:numId w:val="0"/>
              </w:numPr>
              <w:rPr>
                <w:b w:val="0"/>
                <w:color w:val="0000FF"/>
                <w:u w:val="single"/>
              </w:rPr>
            </w:pPr>
            <w:hyperlink r:id="rId7" w:history="1">
              <w:r>
                <w:rPr>
                  <w:b w:val="0"/>
                  <w:color w:val="0000FF"/>
                  <w:u w:val="single"/>
                </w:rPr>
                <w:t>Skjema for utfylling av kvalitetsgrunnlag for akkreditering av utdanninger ved akkreditert fagområde</w:t>
              </w:r>
            </w:hyperlink>
          </w:p>
        </w:tc>
      </w:tr>
      <w:tr>
        <w:tblPrEx>
          <w:tblW w:w="5000" w:type="pct"/>
          <w:tblCellMar>
            <w:left w:w="108" w:type="dxa"/>
            <w:right w:w="108" w:type="dxa"/>
          </w:tblCellMar>
        </w:tblPrEx>
        <w:tc>
          <w:tcPr>
            <w:tcW w:w="1250" w:type="pct"/>
            <w:tcBorders>
              <w:top w:val="nil"/>
              <w:left w:val="nil"/>
              <w:bottom w:val="nil"/>
              <w:right w:val="nil"/>
            </w:tcBorders>
          </w:tcPr>
          <w:p w:rsidP="007650EB">
            <w:pPr>
              <w:numPr>
                <w:ilvl w:val="0"/>
                <w:numId w:val="0"/>
              </w:numPr>
              <w:rPr>
                <w:b w:val="0"/>
                <w:color w:val="0000FF"/>
                <w:u w:val="single"/>
              </w:rPr>
            </w:pPr>
            <w:hyperlink r:id="rId8" w:history="1">
              <w:r>
                <w:rPr>
                  <w:b w:val="0"/>
                  <w:color w:val="0000FF"/>
                  <w:u w:val="single"/>
                </w:rPr>
                <w:t>3.7.18</w:t>
              </w:r>
            </w:hyperlink>
          </w:p>
        </w:tc>
        <w:tc>
          <w:tcPr>
            <w:tcW w:w="3750" w:type="pct"/>
            <w:tcBorders>
              <w:top w:val="nil"/>
              <w:left w:val="nil"/>
              <w:bottom w:val="nil"/>
              <w:right w:val="nil"/>
            </w:tcBorders>
          </w:tcPr>
          <w:p w:rsidP="007650EB">
            <w:pPr>
              <w:numPr>
                <w:ilvl w:val="0"/>
                <w:numId w:val="0"/>
              </w:numPr>
              <w:rPr>
                <w:b w:val="0"/>
                <w:color w:val="0000FF"/>
                <w:u w:val="single"/>
              </w:rPr>
            </w:pPr>
            <w:hyperlink r:id="rId8" w:history="1">
              <w:r>
                <w:rPr>
                  <w:b w:val="0"/>
                  <w:color w:val="0000FF"/>
                  <w:u w:val="single"/>
                </w:rPr>
                <w:t>Rapport med innstilling fra sakkyndig utvalg for akkrediterte fagområder</w:t>
              </w:r>
            </w:hyperlink>
          </w:p>
        </w:tc>
      </w:tr>
    </w:tbl>
    <w:p w:rsidR="007650EB" w:rsidP="007650EB" w14:paraId="0E4FD452" w14:textId="77777777">
      <w:bookmarkEnd w:id="2"/>
    </w:p>
    <w:p w:rsidR="007650EB" w:rsidP="007650EB" w14:paraId="7F6370F6" w14:textId="77777777"/>
    <w:p w:rsidR="007650EB" w:rsidRPr="007650EB" w:rsidP="007650EB" w14:paraId="0AE9F16A" w14:textId="279AE2BA">
      <w:pPr>
        <w:rPr>
          <w:b/>
          <w:bCs/>
        </w:rPr>
      </w:pPr>
      <w:r>
        <w:rPr>
          <w:b/>
          <w:bCs/>
        </w:rPr>
        <w:t xml:space="preserve">6.2. </w:t>
      </w:r>
      <w:r w:rsidRPr="007650EB">
        <w:rPr>
          <w:b/>
          <w:bCs/>
        </w:rPr>
        <w:t>Eksterne referanser</w:t>
      </w:r>
    </w:p>
    <w:p w:rsidR="007650EB" w:rsidP="007650EB" w14:paraId="1B579E6D" w14:textId="777777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50" w:type="pct"/>
            <w:tcBorders>
              <w:top w:val="nil"/>
              <w:left w:val="nil"/>
              <w:bottom w:val="nil"/>
              <w:right w:val="nil"/>
            </w:tcBorders>
          </w:tcPr>
          <w:p w:rsidP="007D26B5">
            <w:pPr>
              <w:numPr>
                <w:ilvl w:val="0"/>
                <w:numId w:val="0"/>
              </w:numPr>
              <w:ind w:left="284"/>
              <w:rPr>
                <w:b w:val="0"/>
                <w:color w:val="0000FF"/>
                <w:u w:val="single"/>
              </w:rPr>
            </w:pPr>
            <w:bookmarkStart w:id="3" w:name="EK_EksRef"/>
            <w:hyperlink r:id="rId10" w:history="1">
              <w:r>
                <w:rPr>
                  <w:b w:val="0"/>
                  <w:color w:val="0000FF"/>
                  <w:u w:val="single"/>
                </w:rPr>
                <w:t>.18.1.2 FOR-2019-07-11-1005 Forskrift om høyere yrkesfaglig utdanning (fagskoleforskriften)</w:t>
              </w:r>
            </w:hyperlink>
          </w:p>
        </w:tc>
      </w:tr>
      <w:tr>
        <w:tblPrEx>
          <w:tblW w:w="5000" w:type="pct"/>
          <w:tblCellMar>
            <w:left w:w="108" w:type="dxa"/>
            <w:right w:w="108" w:type="dxa"/>
          </w:tblCellMar>
        </w:tblPrEx>
        <w:tc>
          <w:tcPr>
            <w:tcW w:w="3750" w:type="pct"/>
            <w:tcBorders>
              <w:top w:val="nil"/>
              <w:left w:val="nil"/>
              <w:bottom w:val="nil"/>
              <w:right w:val="nil"/>
            </w:tcBorders>
          </w:tcPr>
          <w:p w:rsidP="007D26B5">
            <w:pPr>
              <w:numPr>
                <w:ilvl w:val="0"/>
                <w:numId w:val="0"/>
              </w:numPr>
              <w:ind w:left="284"/>
              <w:rPr>
                <w:b w:val="0"/>
                <w:color w:val="0000FF"/>
                <w:u w:val="single"/>
              </w:rPr>
            </w:pPr>
            <w:hyperlink r:id="rId11" w:history="1">
              <w:r>
                <w:rPr>
                  <w:b w:val="0"/>
                  <w:color w:val="0000FF"/>
                  <w:u w:val="single"/>
                </w:rPr>
                <w:t>.18.1.3 FOR-2021-06-30-2379 Forskrift om høyere yrkesfaglig utdanning ved Trøndelag høyere yrkesfagskole</w:t>
              </w:r>
            </w:hyperlink>
          </w:p>
        </w:tc>
      </w:tr>
      <w:tr>
        <w:tblPrEx>
          <w:tblW w:w="5000" w:type="pct"/>
          <w:tblCellMar>
            <w:left w:w="108" w:type="dxa"/>
            <w:right w:w="108" w:type="dxa"/>
          </w:tblCellMar>
        </w:tblPrEx>
        <w:tc>
          <w:tcPr>
            <w:tcW w:w="3750" w:type="pct"/>
            <w:tcBorders>
              <w:top w:val="nil"/>
              <w:left w:val="nil"/>
              <w:bottom w:val="nil"/>
              <w:right w:val="nil"/>
            </w:tcBorders>
          </w:tcPr>
          <w:p w:rsidP="007D26B5">
            <w:pPr>
              <w:numPr>
                <w:ilvl w:val="0"/>
                <w:numId w:val="0"/>
              </w:numPr>
              <w:ind w:left="284"/>
              <w:rPr>
                <w:b w:val="0"/>
                <w:color w:val="0000FF"/>
                <w:u w:val="single"/>
              </w:rPr>
            </w:pPr>
            <w:hyperlink r:id="rId12" w:history="1">
              <w:r>
                <w:rPr>
                  <w:b w:val="0"/>
                  <w:color w:val="0000FF"/>
                  <w:u w:val="single"/>
                </w:rPr>
                <w:t>.22.4 DNV-ST-0029-MTP, Section 4 Development and maintenance</w:t>
              </w:r>
            </w:hyperlink>
          </w:p>
        </w:tc>
      </w:tr>
      <w:tr>
        <w:tblPrEx>
          <w:tblW w:w="5000" w:type="pct"/>
          <w:tblCellMar>
            <w:left w:w="108" w:type="dxa"/>
            <w:right w:w="108" w:type="dxa"/>
          </w:tblCellMar>
        </w:tblPrEx>
        <w:tc>
          <w:tcPr>
            <w:tcW w:w="3750" w:type="pct"/>
            <w:tcBorders>
              <w:top w:val="nil"/>
              <w:left w:val="nil"/>
              <w:bottom w:val="nil"/>
              <w:right w:val="nil"/>
            </w:tcBorders>
          </w:tcPr>
          <w:p w:rsidP="007D26B5">
            <w:pPr>
              <w:numPr>
                <w:ilvl w:val="0"/>
                <w:numId w:val="0"/>
              </w:numPr>
              <w:ind w:left="284"/>
              <w:rPr>
                <w:b w:val="0"/>
                <w:color w:val="0000FF"/>
                <w:u w:val="single"/>
              </w:rPr>
            </w:pPr>
            <w:hyperlink r:id="rId13" w:history="1">
              <w:r>
                <w:rPr>
                  <w:b w:val="0"/>
                  <w:color w:val="0000FF"/>
                  <w:u w:val="single"/>
                </w:rPr>
                <w:t>.18.1.1 LOV-2018-06-08-28 Lov om høyere yrkesfaglig utdanning (fagskoleloven)</w:t>
              </w:r>
            </w:hyperlink>
          </w:p>
        </w:tc>
      </w:tr>
      <w:tr>
        <w:tblPrEx>
          <w:tblW w:w="5000" w:type="pct"/>
          <w:tblCellMar>
            <w:left w:w="108" w:type="dxa"/>
            <w:right w:w="108" w:type="dxa"/>
          </w:tblCellMar>
        </w:tblPrEx>
        <w:tc>
          <w:tcPr>
            <w:tcW w:w="3750" w:type="pct"/>
            <w:tcBorders>
              <w:top w:val="nil"/>
              <w:left w:val="nil"/>
              <w:bottom w:val="nil"/>
              <w:right w:val="nil"/>
            </w:tcBorders>
          </w:tcPr>
          <w:p w:rsidP="007D26B5">
            <w:pPr>
              <w:numPr>
                <w:ilvl w:val="0"/>
                <w:numId w:val="0"/>
              </w:numPr>
              <w:ind w:left="284"/>
              <w:rPr>
                <w:b w:val="0"/>
                <w:color w:val="0000FF"/>
                <w:u w:val="single"/>
              </w:rPr>
            </w:pPr>
            <w:hyperlink r:id="rId14" w:history="1">
              <w:r>
                <w:rPr>
                  <w:b w:val="0"/>
                  <w:color w:val="0000FF"/>
                  <w:u w:val="single"/>
                </w:rPr>
                <w:t xml:space="preserve">.18.1.4 FOR-2020-04-23-853 Forskrift om akkreditering av og tilsyn med høyere yrkesfaglig utdanning (fagskoletilsynsforskriften) </w:t>
              </w:r>
            </w:hyperlink>
          </w:p>
        </w:tc>
      </w:tr>
    </w:tbl>
    <w:p w:rsidR="001C0FFA" w:rsidRPr="00CF0617" w:rsidP="007D26B5" w14:paraId="02699B76" w14:textId="77777777">
      <w:pPr>
        <w:ind w:left="284"/>
        <w:rPr>
          <w:szCs w:val="18"/>
        </w:rPr>
      </w:pPr>
      <w:bookmarkEnd w:id="3"/>
    </w:p>
    <w:p w:rsidR="00C81E01" w:rsidRPr="00092C80" w:rsidP="00092C80" w14:paraId="301753F2" w14:textId="77777777">
      <w:pPr>
        <w:jc w:val="both"/>
        <w:rPr>
          <w:szCs w:val="18"/>
        </w:rPr>
      </w:pPr>
    </w:p>
    <w:sectPr>
      <w:headerReference w:type="default" r:id="rId15"/>
      <w:footerReference w:type="first" r:id="rId16"/>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swald">
    <w:altName w:val="Oswald"/>
    <w:panose1 w:val="00000500000000000000"/>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0FFA" w14:paraId="02699B83" w14:textId="48115FC8">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24.06.2024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7506F" w14:paraId="11D929D2" w14:textId="77777777">
      <w:r>
        <w:separator/>
      </w:r>
    </w:p>
  </w:footnote>
  <w:footnote w:type="continuationSeparator" w:id="1">
    <w:p w:rsidR="0057506F" w14:paraId="763002F1" w14:textId="77777777">
      <w:r>
        <w:continuationSeparator/>
      </w:r>
    </w:p>
  </w:footnote>
  <w:footnote w:type="continuationNotice" w:id="2">
    <w:p w:rsidR="00510552" w14:paraId="7FCBAC41" w14:textId="77777777"/>
  </w:footnote>
  <w:footnote w:id="3">
    <w:p w:rsidR="00BC229E" w:rsidRPr="00BC229E" w:rsidP="00BC229E" w14:paraId="3471CED8" w14:textId="4812C445">
      <w:pPr>
        <w:pStyle w:val="FootnoteText"/>
        <w:ind w:left="142" w:hanging="142"/>
        <w:rPr>
          <w:sz w:val="16"/>
          <w:szCs w:val="16"/>
        </w:rPr>
      </w:pPr>
      <w:r w:rsidRPr="00BC229E">
        <w:rPr>
          <w:rStyle w:val="FootnoteReference"/>
          <w:sz w:val="16"/>
          <w:szCs w:val="16"/>
        </w:rPr>
        <w:footnoteRef/>
      </w:r>
      <w:r w:rsidRPr="00BC229E">
        <w:rPr>
          <w:sz w:val="16"/>
          <w:szCs w:val="16"/>
        </w:rPr>
        <w:t xml:space="preserve"> Gjelder for </w:t>
      </w:r>
      <w:r>
        <w:rPr>
          <w:sz w:val="16"/>
          <w:szCs w:val="16"/>
        </w:rPr>
        <w:t>utdanninger hvor det kreves sertifiseringer og/eller godkjenninger fra andre organer i tillegg til akkreditering fra NOKUT eller fagområde-akkreditering.</w:t>
      </w:r>
    </w:p>
  </w:footnote>
  <w:footnote w:id="4">
    <w:p w:rsidR="00AE1605" w:rsidRPr="00AE1605" w14:paraId="74873A4A" w14:textId="53596845">
      <w:pPr>
        <w:pStyle w:val="FootnoteText"/>
        <w:rPr>
          <w:sz w:val="16"/>
          <w:szCs w:val="16"/>
        </w:rPr>
      </w:pPr>
      <w:r w:rsidRPr="00AE1605">
        <w:rPr>
          <w:rStyle w:val="FootnoteReference"/>
          <w:sz w:val="16"/>
          <w:szCs w:val="16"/>
        </w:rPr>
        <w:footnoteRef/>
      </w:r>
      <w:r w:rsidRPr="00AE1605">
        <w:rPr>
          <w:sz w:val="16"/>
          <w:szCs w:val="16"/>
        </w:rPr>
        <w:t xml:space="preserve"> Begrepet studiekoordinator ble lansert i ledermøte 30. mai 2024 som erstatning for teamkoordinator (</w:t>
      </w:r>
      <w:r w:rsidRPr="00AE1605">
        <w:rPr>
          <w:color w:val="FF0000"/>
          <w:sz w:val="16"/>
          <w:szCs w:val="16"/>
        </w:rPr>
        <w:t xml:space="preserve">fotnoten fjernes når man har bestemt tittel og hvilken rolle vedkommende skal ha </w:t>
      </w:r>
      <w:r>
        <w:rPr>
          <w:color w:val="FF0000"/>
          <w:sz w:val="16"/>
          <w:szCs w:val="16"/>
        </w:rPr>
        <w:t>ved</w:t>
      </w:r>
      <w:r w:rsidRPr="00AE1605">
        <w:rPr>
          <w:color w:val="FF0000"/>
          <w:sz w:val="16"/>
          <w:szCs w:val="16"/>
        </w:rPr>
        <w:t xml:space="preserve"> utviklingen av nye utdanninger</w:t>
      </w:r>
      <w:r w:rsidRPr="00AE1605">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14:paraId="02699B7B" w14:textId="77777777">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14:paraId="02699B79" w14:textId="77777777">
          <w:pPr>
            <w:spacing w:before="80" w:after="80"/>
            <w:rPr>
              <w:b/>
              <w:lang w:val="de-DE"/>
            </w:rPr>
          </w:pPr>
          <w:r>
            <w:rPr>
              <w:b/>
              <w:color w:val="000080"/>
            </w:rPr>
            <w:fldChar w:fldCharType="begin" w:fldLock="1"/>
          </w:r>
          <w:r>
            <w:rPr>
              <w:b/>
              <w:color w:val="000080"/>
              <w:lang w:val="de-DE"/>
            </w:rPr>
            <w:instrText>DOCPROPERTY EK_doktittel</w:instrText>
          </w:r>
          <w:r>
            <w:rPr>
              <w:b/>
              <w:color w:val="000080"/>
            </w:rPr>
            <w:fldChar w:fldCharType="separate"/>
          </w:r>
          <w:r>
            <w:rPr>
              <w:b/>
              <w:color w:val="000080"/>
              <w:lang w:val="de-DE"/>
            </w:rPr>
            <w:t xml:space="preserve">Prosessbeskrivelse  for nye utdanninger og vesentlige endringer ved akkrediterte fagområder  </w:t>
          </w:r>
          <w:r>
            <w:rPr>
              <w:b/>
              <w:color w:val="000080"/>
            </w:rPr>
            <w:fldChar w:fldCharType="end"/>
          </w:r>
        </w:p>
      </w:tc>
      <w:tc>
        <w:tcPr>
          <w:tcW w:w="1968" w:type="dxa"/>
          <w:gridSpan w:val="2"/>
          <w:tcBorders>
            <w:bottom w:val="nil"/>
          </w:tcBorders>
        </w:tcPr>
        <w:p w:rsidR="001C0FFA" w14:paraId="02699B7A" w14:textId="77777777">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3.7.16</w:t>
          </w:r>
          <w:r>
            <w:rPr>
              <w:sz w:val="20"/>
            </w:rPr>
            <w:fldChar w:fldCharType="end"/>
          </w:r>
        </w:p>
      </w:tc>
    </w:tr>
    <w:tr w14:paraId="02699B7E" w14:textId="77777777">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1C0FFA" w14:paraId="02699B7C" w14:textId="77777777">
          <w:pPr>
            <w:spacing w:before="80"/>
            <w:rPr>
              <w:sz w:val="20"/>
            </w:rPr>
          </w:pPr>
        </w:p>
      </w:tc>
      <w:tc>
        <w:tcPr>
          <w:tcW w:w="1962" w:type="dxa"/>
          <w:tcBorders>
            <w:left w:val="nil"/>
            <w:bottom w:val="nil"/>
            <w:right w:val="nil"/>
          </w:tcBorders>
        </w:tcPr>
        <w:p w:rsidR="001C0FFA" w14:paraId="02699B7D" w14:textId="77777777">
          <w:pPr>
            <w:spacing w:before="80"/>
            <w:jc w:val="right"/>
            <w:rPr>
              <w:sz w:val="20"/>
            </w:rPr>
          </w:pPr>
          <w:r>
            <w:rPr>
              <w:sz w:val="20"/>
            </w:rPr>
            <w:t xml:space="preserve">Side </w:t>
          </w:r>
          <w:r>
            <w:rPr>
              <w:sz w:val="20"/>
            </w:rPr>
            <w:t xml:space="preserve">  :</w:t>
          </w:r>
          <w:r>
            <w:rPr>
              <w:sz w:val="20"/>
            </w:rPr>
            <w:t xml:space="preserve"> </w:t>
          </w:r>
          <w:r>
            <w:rPr>
              <w:sz w:val="20"/>
            </w:rPr>
            <w:fldChar w:fldCharType="begin"/>
          </w:r>
          <w:r>
            <w:rPr>
              <w:sz w:val="20"/>
            </w:rPr>
            <w:instrText xml:space="preserve">PAGE </w:instrText>
          </w:r>
          <w:r>
            <w:rPr>
              <w:sz w:val="20"/>
            </w:rPr>
            <w:fldChar w:fldCharType="separate"/>
          </w:r>
          <w:r>
            <w:rPr>
              <w:rFonts w:ascii="Verdana" w:hAnsi="Verdana"/>
              <w:sz w:val="20"/>
              <w:lang w:val="nb-NO" w:eastAsia="nb-NO" w:bidi="ar-SA"/>
            </w:rPr>
            <w:t>5</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5</w:t>
          </w:r>
          <w:r>
            <w:rPr>
              <w:sz w:val="20"/>
            </w:rPr>
            <w:fldChar w:fldCharType="end"/>
          </w:r>
        </w:p>
      </w:tc>
    </w:tr>
  </w:tbl>
  <w:p w:rsidR="001C0FFA" w14:paraId="02699B7F"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B4E9BFC4"/>
    <w:multiLevelType w:val="hybridMultilevel"/>
    <w:tmpl w:val="FFFFFFFF"/>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10C61E4"/>
    <w:multiLevelType w:val="hybridMultilevel"/>
    <w:tmpl w:val="2590569C"/>
    <w:lvl w:ilvl="0">
      <w:start w:val="0"/>
      <w:numFmt w:val="bullet"/>
      <w:lvlText w:val="•"/>
      <w:lvlJc w:val="left"/>
      <w:pPr>
        <w:ind w:left="1068" w:hanging="708"/>
      </w:pPr>
      <w:rPr>
        <w:rFonts w:ascii="Verdana" w:eastAsia="Times New Roman" w:hAnsi="Verdan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4C399C"/>
    <w:multiLevelType w:val="hybridMultilevel"/>
    <w:tmpl w:val="B85656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043AA6"/>
    <w:multiLevelType w:val="hybridMultilevel"/>
    <w:tmpl w:val="4CACDA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F63DE"/>
    <w:multiLevelType w:val="hybridMultilevel"/>
    <w:tmpl w:val="FFFFFFFF"/>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15D0119F"/>
    <w:multiLevelType w:val="multilevel"/>
    <w:tmpl w:val="57527E7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71239C2"/>
    <w:multiLevelType w:val="hybridMultilevel"/>
    <w:tmpl w:val="7EE206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89E12DA"/>
    <w:multiLevelType w:val="hybridMultilevel"/>
    <w:tmpl w:val="F042B5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77273A1"/>
    <w:multiLevelType w:val="hybridMultilevel"/>
    <w:tmpl w:val="FFFFFFFF"/>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28D76D42"/>
    <w:multiLevelType w:val="hybridMultilevel"/>
    <w:tmpl w:val="73DC3DE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422C5A"/>
    <w:multiLevelType w:val="hybridMultilevel"/>
    <w:tmpl w:val="4956BB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DCBA17F"/>
    <w:multiLevelType w:val="hybridMultilevel"/>
    <w:tmpl w:val="FFFFFFFF"/>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2F6450B7"/>
    <w:multiLevelType w:val="hybridMultilevel"/>
    <w:tmpl w:val="1004D7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4F01731"/>
    <w:multiLevelType w:val="hybridMultilevel"/>
    <w:tmpl w:val="E424E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10A6830"/>
    <w:multiLevelType w:val="hybridMultilevel"/>
    <w:tmpl w:val="8B32A3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28B1EAD"/>
    <w:multiLevelType w:val="hybridMultilevel"/>
    <w:tmpl w:val="A9D02736"/>
    <w:lvl w:ilvl="0">
      <w:start w:val="1"/>
      <w:numFmt w:val="decimal"/>
      <w:lvlText w:val="6.%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73B5827"/>
    <w:multiLevelType w:val="hybridMultilevel"/>
    <w:tmpl w:val="225C9F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8B519C2"/>
    <w:multiLevelType w:val="hybridMultilevel"/>
    <w:tmpl w:val="FFFFFFFF"/>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8">
    <w:nsid w:val="695946EF"/>
    <w:multiLevelType w:val="hybridMultilevel"/>
    <w:tmpl w:val="1BC46E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D5933C9"/>
    <w:multiLevelType w:val="hybridMultilevel"/>
    <w:tmpl w:val="2A40629C"/>
    <w:lvl w:ilvl="0">
      <w:start w:val="1"/>
      <w:numFmt w:val="decimal"/>
      <w:lvlText w:val="6.%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BE5A7D"/>
    <w:multiLevelType w:val="hybridMultilevel"/>
    <w:tmpl w:val="75B632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A7536C7"/>
    <w:multiLevelType w:val="hybridMultilevel"/>
    <w:tmpl w:val="494A2AB0"/>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num w:numId="1" w16cid:durableId="2140489323">
    <w:abstractNumId w:val="9"/>
  </w:num>
  <w:num w:numId="2" w16cid:durableId="1829782046">
    <w:abstractNumId w:val="15"/>
  </w:num>
  <w:num w:numId="3" w16cid:durableId="1572885599">
    <w:abstractNumId w:val="5"/>
  </w:num>
  <w:num w:numId="4" w16cid:durableId="393701951">
    <w:abstractNumId w:val="16"/>
  </w:num>
  <w:num w:numId="5" w16cid:durableId="1510482899">
    <w:abstractNumId w:val="2"/>
  </w:num>
  <w:num w:numId="6" w16cid:durableId="940457103">
    <w:abstractNumId w:val="19"/>
  </w:num>
  <w:num w:numId="7" w16cid:durableId="456340936">
    <w:abstractNumId w:val="21"/>
  </w:num>
  <w:num w:numId="8" w16cid:durableId="287129668">
    <w:abstractNumId w:val="10"/>
  </w:num>
  <w:num w:numId="9" w16cid:durableId="43337207">
    <w:abstractNumId w:val="0"/>
  </w:num>
  <w:num w:numId="10" w16cid:durableId="1654681853">
    <w:abstractNumId w:val="8"/>
  </w:num>
  <w:num w:numId="11" w16cid:durableId="1571765686">
    <w:abstractNumId w:val="17"/>
  </w:num>
  <w:num w:numId="12" w16cid:durableId="1083336162">
    <w:abstractNumId w:val="4"/>
  </w:num>
  <w:num w:numId="13" w16cid:durableId="1782336751">
    <w:abstractNumId w:val="11"/>
  </w:num>
  <w:num w:numId="14" w16cid:durableId="473106575">
    <w:abstractNumId w:val="3"/>
  </w:num>
  <w:num w:numId="15" w16cid:durableId="322659511">
    <w:abstractNumId w:val="6"/>
  </w:num>
  <w:num w:numId="16" w16cid:durableId="186990013">
    <w:abstractNumId w:val="12"/>
  </w:num>
  <w:num w:numId="17" w16cid:durableId="1802452468">
    <w:abstractNumId w:val="20"/>
  </w:num>
  <w:num w:numId="18" w16cid:durableId="899097067">
    <w:abstractNumId w:val="18"/>
  </w:num>
  <w:num w:numId="19" w16cid:durableId="122507249">
    <w:abstractNumId w:val="7"/>
  </w:num>
  <w:num w:numId="20" w16cid:durableId="1215121283">
    <w:abstractNumId w:val="14"/>
  </w:num>
  <w:num w:numId="21" w16cid:durableId="1979873225">
    <w:abstractNumId w:val="1"/>
  </w:num>
  <w:num w:numId="22" w16cid:durableId="2137353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0"/>
    <w:footnote w:id="1"/>
    <w:footnote w:id="2"/>
  </w:footnotePr>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1C0FFA"/>
    <w:rsid w:val="0001264C"/>
    <w:rsid w:val="00015CE9"/>
    <w:rsid w:val="000400F7"/>
    <w:rsid w:val="00052137"/>
    <w:rsid w:val="00064B5B"/>
    <w:rsid w:val="00092C80"/>
    <w:rsid w:val="000B6115"/>
    <w:rsid w:val="000E1DDE"/>
    <w:rsid w:val="000F328E"/>
    <w:rsid w:val="000F3BF2"/>
    <w:rsid w:val="001009AC"/>
    <w:rsid w:val="00126CC1"/>
    <w:rsid w:val="001A2ECE"/>
    <w:rsid w:val="001A500E"/>
    <w:rsid w:val="001C0FFA"/>
    <w:rsid w:val="001E047B"/>
    <w:rsid w:val="002646B1"/>
    <w:rsid w:val="00280477"/>
    <w:rsid w:val="003D4093"/>
    <w:rsid w:val="004079A6"/>
    <w:rsid w:val="00415440"/>
    <w:rsid w:val="004169B1"/>
    <w:rsid w:val="00426F3A"/>
    <w:rsid w:val="00454B66"/>
    <w:rsid w:val="00473133"/>
    <w:rsid w:val="004A1508"/>
    <w:rsid w:val="004D451F"/>
    <w:rsid w:val="004F400D"/>
    <w:rsid w:val="005037FB"/>
    <w:rsid w:val="00510552"/>
    <w:rsid w:val="00525472"/>
    <w:rsid w:val="005335A2"/>
    <w:rsid w:val="005363A9"/>
    <w:rsid w:val="00552EC5"/>
    <w:rsid w:val="00556BC4"/>
    <w:rsid w:val="00560190"/>
    <w:rsid w:val="00566C57"/>
    <w:rsid w:val="0057506F"/>
    <w:rsid w:val="00584BC8"/>
    <w:rsid w:val="00593ADB"/>
    <w:rsid w:val="005C0353"/>
    <w:rsid w:val="005D217C"/>
    <w:rsid w:val="005F7187"/>
    <w:rsid w:val="00611103"/>
    <w:rsid w:val="00633189"/>
    <w:rsid w:val="006458B4"/>
    <w:rsid w:val="00665A4D"/>
    <w:rsid w:val="00671862"/>
    <w:rsid w:val="00677049"/>
    <w:rsid w:val="0068456C"/>
    <w:rsid w:val="006A2057"/>
    <w:rsid w:val="006D73A1"/>
    <w:rsid w:val="00703711"/>
    <w:rsid w:val="0075102E"/>
    <w:rsid w:val="007650EB"/>
    <w:rsid w:val="007673ED"/>
    <w:rsid w:val="00781062"/>
    <w:rsid w:val="00784455"/>
    <w:rsid w:val="00793E9F"/>
    <w:rsid w:val="007D26B5"/>
    <w:rsid w:val="0081480B"/>
    <w:rsid w:val="00816FE3"/>
    <w:rsid w:val="0087577E"/>
    <w:rsid w:val="008A09F7"/>
    <w:rsid w:val="008A6785"/>
    <w:rsid w:val="00912FEC"/>
    <w:rsid w:val="00946264"/>
    <w:rsid w:val="0095797D"/>
    <w:rsid w:val="009B7F8E"/>
    <w:rsid w:val="009E2798"/>
    <w:rsid w:val="009E2D1A"/>
    <w:rsid w:val="009F72A1"/>
    <w:rsid w:val="009F7EB5"/>
    <w:rsid w:val="00A0305E"/>
    <w:rsid w:val="00A16D98"/>
    <w:rsid w:val="00A42B73"/>
    <w:rsid w:val="00A735FD"/>
    <w:rsid w:val="00A827C1"/>
    <w:rsid w:val="00A82D68"/>
    <w:rsid w:val="00A90445"/>
    <w:rsid w:val="00A90694"/>
    <w:rsid w:val="00A94772"/>
    <w:rsid w:val="00AB115D"/>
    <w:rsid w:val="00AC164C"/>
    <w:rsid w:val="00AE1605"/>
    <w:rsid w:val="00B2251F"/>
    <w:rsid w:val="00B34821"/>
    <w:rsid w:val="00B3769A"/>
    <w:rsid w:val="00B43A58"/>
    <w:rsid w:val="00B547F3"/>
    <w:rsid w:val="00B74E4F"/>
    <w:rsid w:val="00B84574"/>
    <w:rsid w:val="00B86626"/>
    <w:rsid w:val="00B926C6"/>
    <w:rsid w:val="00B95694"/>
    <w:rsid w:val="00BC229E"/>
    <w:rsid w:val="00BF20BE"/>
    <w:rsid w:val="00BF75FB"/>
    <w:rsid w:val="00C81E01"/>
    <w:rsid w:val="00CA666C"/>
    <w:rsid w:val="00CC0A69"/>
    <w:rsid w:val="00CC173A"/>
    <w:rsid w:val="00CD5A4D"/>
    <w:rsid w:val="00CF0617"/>
    <w:rsid w:val="00D119F6"/>
    <w:rsid w:val="00D24256"/>
    <w:rsid w:val="00D4647D"/>
    <w:rsid w:val="00D72127"/>
    <w:rsid w:val="00DA6F54"/>
    <w:rsid w:val="00DE4DA8"/>
    <w:rsid w:val="00DE729F"/>
    <w:rsid w:val="00E00D53"/>
    <w:rsid w:val="00E34F49"/>
    <w:rsid w:val="00EB10FC"/>
    <w:rsid w:val="00EC7F8C"/>
    <w:rsid w:val="00EE707B"/>
    <w:rsid w:val="00F11839"/>
    <w:rsid w:val="00F26C4C"/>
    <w:rsid w:val="00F65CB0"/>
    <w:rsid w:val="00F909AE"/>
    <w:rsid w:val="00F9677E"/>
    <w:rsid w:val="00FA5C47"/>
    <w:rsid w:val="00FF57CE"/>
  </w:rsids>
  <w:docVars>
    <w:docVar w:name="Avdeling" w:val="lab_avdeling"/>
    <w:docVar w:name="Avsnitt" w:val="lab_avsnitt"/>
    <w:docVar w:name="Bedriftsnavn" w:val="DEMO - DataKvalitet AS"/>
    <w:docVar w:name="beskyttet" w:val="nei"/>
    <w:docVar w:name="docver" w:val="2.20"/>
    <w:docVar w:name="EksRef" w:val="[EksRef]"/>
    <w:docVar w:name="ek_dbfields" w:val="EK_Avdeling¤2#4¤2#[Avdeling]¤3#EK_Avsnitt¤2#4¤2#[Avsnitt]¤3#EK_Bedriftsnavn¤2#1¤2#TRONDHEIM FAGSKOLE¤3#EK_GjelderFra¤2#0¤2#[GjelderFra]¤3#EK_Opprettet¤2#0¤2#[Opprettet]¤3#EK_Utgitt¤2#0¤2#[Utgitt]¤3#EK_IBrukDato¤2#0¤2#[Endret]¤3#EK_DokumentID¤2#0¤2#[ID]¤3#EK_DokTittel¤2#0¤2#&lt;Ny mal opprettet av JSS&gt;¤3#EK_DokType¤2#0¤2#[DokType]¤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SkrevetAv¤2#0¤2#[Forfatter]¤3#EK_UText1¤2#0¤2#[UText1]¤3#EK_UText2¤2#0¤2#[UText2]¤3#EK_UText3¤2#0¤2#[UText3]¤3#EK_UText4¤2#0¤2#[UText4]¤3#EK_Status¤2#0¤2#[Status]¤3#EK_Stikkord¤2#0¤2#[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Dokeier¤2#0¤2#[ResEier]¤3#EKR_Status¤2#0¤2#[ResStat]¤3#EKR_Opprettet¤2#0¤2#[ResOppr]¤3#EKR_Endret¤2#0¤2#[ResEndret]¤3#EKR_Ibruk¤2#0¤2#[ResIBruk]¤3#EKR_Rapport¤2#3¤2#[Tilknyttet rapport]¤3#EKR_Utgitt¤2#0¤2#[ResUtfylt]¤3#EKR_SkrevetAv¤2#0¤2#[Utfylt av]¤3#EKR_UText1¤2#0¤2#[RESUText1]¤3#EKR_UText2¤2#0¤2#[RESUText2]¤3#EKR_UText3¤2#0¤2#[RESUText3]¤3#EKR_UText4¤2#0¤2#[RESUText4]¤3#EKR_DokRefnr¤2#4¤2#¤3#EKR_Gradnr¤2#4¤2#¤3#EKR_Strukt00¤2#5¤2#[ ]¤3#"/>
    <w:docVar w:name="ek_doktittel" w:val="&lt;Ny mal opprettet av JSS&gt;"/>
    <w:docVar w:name="ek_endrfields" w:val="EK_DokTittel¤1#EK_Rapport¤1#"/>
    <w:docVar w:name="ek_format" w:val="-2"/>
    <w:docVar w:name="ek_rapport" w:val="[Tilknyttet rapport]"/>
    <w:docVar w:name="EK_TYPE" w:val="MAL"/>
    <w:docVar w:name="Erstatter" w:val="lab_erstatter"/>
    <w:docVar w:name="KHB" w:val="nei"/>
    <w:docVar w:name="skitten" w:val="0"/>
    <w:docVar w:name="Tittel" w:val="Dette er en Test tittel."/>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02699B57"/>
  <w15:docId w15:val="{9FBB40AC-0603-4F54-B465-40540C71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73133"/>
    <w:rPr>
      <w:rFonts w:ascii="Verdana" w:hAnsi="Verdana"/>
      <w:sz w:val="18"/>
    </w:rPr>
  </w:style>
  <w:style w:type="paragraph" w:styleId="Heading1">
    <w:name w:val="heading 1"/>
    <w:basedOn w:val="Normal"/>
    <w:next w:val="Normal"/>
    <w:qFormat/>
    <w:rsid w:val="000E1DDE"/>
    <w:pPr>
      <w:spacing w:before="360"/>
      <w:outlineLvl w:val="0"/>
    </w:pPr>
    <w:rPr>
      <w:b/>
      <w:sz w:val="22"/>
    </w:rPr>
  </w:style>
  <w:style w:type="paragraph" w:styleId="Heading2">
    <w:name w:val="heading 2"/>
    <w:basedOn w:val="Normal"/>
    <w:next w:val="Normal"/>
    <w:qFormat/>
    <w:rsid w:val="007D26B5"/>
    <w:pPr>
      <w:spacing w:before="240" w:after="120"/>
      <w:outlineLvl w:val="1"/>
    </w:pPr>
    <w:rPr>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B86626"/>
    <w:pPr>
      <w:ind w:left="708"/>
    </w:pPr>
  </w:style>
  <w:style w:type="table" w:styleId="TableGrid">
    <w:name w:val="Table Grid"/>
    <w:basedOn w:val="TableNormal"/>
    <w:rsid w:val="00E0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tnotetekstTegn"/>
    <w:rsid w:val="00BC229E"/>
    <w:rPr>
      <w:sz w:val="20"/>
    </w:rPr>
  </w:style>
  <w:style w:type="character" w:customStyle="1" w:styleId="FotnotetekstTegn">
    <w:name w:val="Fotnotetekst Tegn"/>
    <w:basedOn w:val="DefaultParagraphFont"/>
    <w:link w:val="FootnoteText"/>
    <w:rsid w:val="00BC229E"/>
    <w:rPr>
      <w:rFonts w:ascii="Verdana" w:hAnsi="Verdana"/>
    </w:rPr>
  </w:style>
  <w:style w:type="character" w:styleId="FootnoteReference">
    <w:name w:val="footnote reference"/>
    <w:basedOn w:val="DefaultParagraphFont"/>
    <w:rsid w:val="00BC229E"/>
    <w:rPr>
      <w:vertAlign w:val="superscript"/>
    </w:rPr>
  </w:style>
  <w:style w:type="paragraph" w:customStyle="1" w:styleId="Default">
    <w:name w:val="Default"/>
    <w:rsid w:val="00D119F6"/>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8A6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lovdata.no/forskrift/2019-07-11-1005" TargetMode="External" /><Relationship Id="rId11" Type="http://schemas.openxmlformats.org/officeDocument/2006/relationships/hyperlink" Target="https://lovdata.no/dokument/SF/forskrift/2021-06-30-2379?q=forskrift%20om%20h%C3%B8yere%20yrkesfaglig%20utdanning" TargetMode="External" /><Relationship Id="rId12" Type="http://schemas.openxmlformats.org/officeDocument/2006/relationships/hyperlink" Target="https://standards.dnv.com/explorer/document/F63D7FA6C45F460DA09A0DBEFB1C4C1F/4" TargetMode="External" /><Relationship Id="rId13" Type="http://schemas.openxmlformats.org/officeDocument/2006/relationships/hyperlink" Target="https://lovdata.no/dokument/NL/lov/2018-06-08-28" TargetMode="External" /><Relationship Id="rId14" Type="http://schemas.openxmlformats.org/officeDocument/2006/relationships/hyperlink" Target="https://lovdata.no/dokument/SF/forskrift/2020-04-23-853/"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hyperlink" Target="https://thyf-ekstern.dkhosting.no/docs/pub/DOK00290.pdf" TargetMode="External" /><Relationship Id="rId8" Type="http://schemas.openxmlformats.org/officeDocument/2006/relationships/hyperlink" Target="https://thyf-ekstern.dkhosting.no/docs/pub/DOK00291.pdf" TargetMode="External" /><Relationship Id="rId9" Type="http://schemas.openxmlformats.org/officeDocument/2006/relationships/hyperlink" Target="https://thyf-ekstern.dkhosting.no/docs/pub/DOK00192.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ANMI\APPDATA\ROAMING\MICROSOFT\TEMPLATES\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F947F9-4C46-49C8-9482-95003D7151D0}">
  <we:reference id="wa200003024" version="3.0.0.0" store="nb-NO" storeType="omex"/>
  <we:alternateReferences>
    <we:reference id="WA200003024" version="3.0.0.0" store="" storeType="omex"/>
  </we:alternateReferences>
  <we:properties/>
  <we:bindings/>
  <we:snapshot xmlns:r="http://schemas.openxmlformats.org/officeDocument/2006/relationships"/>
</we:webextension>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5D24D-3C24-4506-8F01-D03D134B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OPERATIV_EK3TEMPDISABLED</Template>
  <TotalTime>554</TotalTime>
  <Pages>5</Pages>
  <Words>2117</Words>
  <Characters>11223</Characters>
  <Application>Microsoft Office Word</Application>
  <DocSecurity>0</DocSecurity>
  <Lines>93</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Utvikle nye utdanninger og foreta vesentlige endringer ved utdanninger innenfor akkreditert fagområde</vt:lpstr>
      <vt:lpstr>	</vt:lpstr>
    </vt:vector>
  </TitlesOfParts>
  <Company>Datakvalitet</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Prosessbeskrivelse  for nye utdanninger og vesentlige endringer ved akkrediterte fagområder</dc:title>
  <dc:subject>&lt;Ny mal opprettet av JSS&gt;|[RefNr]|</dc:subject>
  <dc:creator>Handbok</dc:creator>
  <dc:description>EK_Avdeling4[Avdeling]EK_Avsnitt4[Avsnitt]EK_Bedriftsnavn1TRONDHEIM FAGSKOLEEK_GjelderFra0[GjelderFra]EK_Opprettet0[Opprettet]EK_Utgitt0[Utgitt]EK_IBrukDato0[Endret]EK_DokumentID0[ID]EK_DokTittel0&lt;Ny mal opprettet av JSS&gt;EK_DokType0[DokType]EK_EksRef2EksRef_LayoutEK_Erstatter0[Erstatter]EK_ErstatterD0[ErstatterD]EK_Signatur0[Signatur]EK_Verifisert0[Verifisert av]EK_Hørt0[Hørt av]EK_AuditReview2;[Signaturliste];EK_AuditApprove2;[Signaturliste];EK_Gradering0[Gradering]EK_Gradnr4[Gradnr]EK_Kapittel4[Kapittel]EK_Referanse2Ref_LayoutEK_RefNr0[RefNr]EK_Revisjon0[Rev]EK_Ansvarlig0[EK-Ansvarlig]EK_SkrevetAv0[Forfatter]EK_UText10[UText1]EK_UText20[UText2]EK_UText30[UText3]EK_UText40[UText4]EK_Status0[Status]EK_Stikkord0[Stikkord]EK_Rapport3[Tilknyttet rapport]EK_EKPrintMerke0Uoffisiell utskrift er kun gyldig på utskriftsdatoEK_Watermark0VannmerkeEK_Utgave0[Ver]EK_Merknad7[Merknad]EK_VerLogg2[Versjonslogg]EK_RF14[RF1]EK_RF24[RF2]EK_RF34[RF3]EK_RF44[RF4]EK_RF54[RF5]EK_RF64[RF6]EK_RF74[RF7]EK_RF84[RF8]EK_RF94[RF9]EK_Mappe14[Mappe1]EK_Mappe24[Mappe2]EK_Mappe34[Mappe3]EK_Mappe44[Mappe4]EK_Mappe54[Mappe5]EK_Mappe64[Mappe6]EK_Mappe74[Mappe7]EK_Mappe84[Mappe8]EK_Mappe94[Mappe9]EK_DL0[dl]EK_GjelderTil0[GyldigTil]EK_Vedlegg2Ref_LayoutEK_AvdelingOver4[AvdelingOver]EK_HRefNr0[HRefnr]EK_HbNavn0[HbNavn]EK_DokRefnr4EK_Dokendrdato4EK_HbType4EK_Offisiell4EK_VedleggRef4EK_Strukt005[Strukturfelt]EK_Strukt015[Strukturfelt]EK_Pub6EKR_DokType0[ResType]EKR_Doktittel0[ResTittel]EKR_DokumentID0[ResId]EKR_RefNr0[ResRefNr]EKR_Gradering0[ResGrad]EKR_Signatur0[ResSign]EKR_Verifisert0[Verifisert av]EKR_Hørt0[Hørt av]EKR_Dokeier0[ResEier]EKR_Status0[ResStat]EKR_Opprettet0[ResOppr]EKR_Endret0[ResEndret]EKR_Ibruk0[ResIBruk]EKR_Rapport3[Tilknyttet rapport]EKR_Utgitt0[ResUtfylt]EKR_SkrevetAv0[Utfylt av]EKR_UText10[RESUText1]EKR_UText20[RESUText2]EKR_UText30[RESUText3]EKR_UText40[RESUText4]EKR_DokRefnr4EKR_Gradnr4EKR_Strukt005[ ]</dc:description>
  <cp:lastModifiedBy>Hans Tore Mikkelsen</cp:lastModifiedBy>
  <cp:revision>34</cp:revision>
  <cp:lastPrinted>2024-04-29T13:04:00Z</cp:lastPrinted>
  <dcterms:created xsi:type="dcterms:W3CDTF">2020-01-20T07:07:00Z</dcterms:created>
  <dcterms:modified xsi:type="dcterms:W3CDTF">2024-06-19T05:28:00Z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r_doktype">
    <vt:lpwstr>[Dokumenttype]</vt:lpwstr>
  </property>
  <property fmtid="{D5CDD505-2E9C-101B-9397-08002B2CF9AE}" pid="3" name="EK_Bedriftsnavn">
    <vt:lpwstr>TRØNDELAG HØYERE YRKESFAGSKOLE avd. TRONDHEIM</vt:lpwstr>
  </property>
  <property fmtid="{D5CDD505-2E9C-101B-9397-08002B2CF9AE}" pid="4" name="EK_DokTittel">
    <vt:lpwstr>Prosessbeskrivelse  for nye utdanninger og vesentlige endringer ved akkrediterte fagområder  </vt:lpwstr>
  </property>
  <property fmtid="{D5CDD505-2E9C-101B-9397-08002B2CF9AE}" pid="5" name="EK_DokType">
    <vt:lpwstr>Prosedyre</vt:lpwstr>
  </property>
  <property fmtid="{D5CDD505-2E9C-101B-9397-08002B2CF9AE}" pid="6" name="EK_EKPrintMerke">
    <vt:lpwstr>Uoffisiell utskrift er kun gyldig på utskriftsdato</vt:lpwstr>
  </property>
  <property fmtid="{D5CDD505-2E9C-101B-9397-08002B2CF9AE}" pid="7" name="EK_GjelderFra">
    <vt:lpwstr>[]</vt:lpwstr>
  </property>
  <property fmtid="{D5CDD505-2E9C-101B-9397-08002B2CF9AE}" pid="8" name="EK_GjelderTil">
    <vt:lpwstr>[]</vt:lpwstr>
  </property>
  <property fmtid="{D5CDD505-2E9C-101B-9397-08002B2CF9AE}" pid="9" name="EK_RefNr">
    <vt:lpwstr>3.7.16</vt:lpwstr>
  </property>
  <property fmtid="{D5CDD505-2E9C-101B-9397-08002B2CF9AE}" pid="10" name="EK_Signatur">
    <vt:lpwstr>Ikke styrt</vt:lpwstr>
  </property>
  <property fmtid="{D5CDD505-2E9C-101B-9397-08002B2CF9AE}" pid="11" name="EK_SkrevetAv">
    <vt:lpwstr>Hans Tore Mikkelsen</vt:lpwstr>
  </property>
  <property fmtid="{D5CDD505-2E9C-101B-9397-08002B2CF9AE}" pid="12" name="EK_Utgave">
    <vt:lpwstr>0.08</vt:lpwstr>
  </property>
  <property fmtid="{D5CDD505-2E9C-101B-9397-08002B2CF9AE}" pid="13" name="EK_Watermark">
    <vt:lpwstr>[Vannmerke]</vt:lpwstr>
  </property>
  <property fmtid="{D5CDD505-2E9C-101B-9397-08002B2CF9AE}" pid="14" name="XD00192">
    <vt:lpwstr>2.1.1</vt:lpwstr>
  </property>
  <property fmtid="{D5CDD505-2E9C-101B-9397-08002B2CF9AE}" pid="15" name="XD00290">
    <vt:lpwstr>3.7.17</vt:lpwstr>
  </property>
  <property fmtid="{D5CDD505-2E9C-101B-9397-08002B2CF9AE}" pid="16" name="XD00291">
    <vt:lpwstr>3.7.18</vt:lpwstr>
  </property>
  <property fmtid="{D5CDD505-2E9C-101B-9397-08002B2CF9AE}" pid="17" name="XDF00192">
    <vt:lpwstr>Revisjon eksisterende studieplaner</vt:lpwstr>
  </property>
  <property fmtid="{D5CDD505-2E9C-101B-9397-08002B2CF9AE}" pid="18" name="XDF00290">
    <vt:lpwstr>Skjema for utfylling av kvalitetsgrunnlag for akkreditering av utdanninger ved akkreditert fagområde</vt:lpwstr>
  </property>
  <property fmtid="{D5CDD505-2E9C-101B-9397-08002B2CF9AE}" pid="19" name="XDF00291">
    <vt:lpwstr>Rapport med innstilling fra sakkyndig utvalg for akkrediterte fagområder</vt:lpwstr>
  </property>
  <property fmtid="{D5CDD505-2E9C-101B-9397-08002B2CF9AE}" pid="20" name="XDL00192">
    <vt:lpwstr>2.1.1 Revisjon eksisterende studieplaner</vt:lpwstr>
  </property>
  <property fmtid="{D5CDD505-2E9C-101B-9397-08002B2CF9AE}" pid="21" name="XDL00290">
    <vt:lpwstr>3.7.17 Skjema for utfylling av kvalitetsgrunnlag for akkreditering av utdanninger ved akkreditert fagområde</vt:lpwstr>
  </property>
  <property fmtid="{D5CDD505-2E9C-101B-9397-08002B2CF9AE}" pid="22" name="XDL00291">
    <vt:lpwstr>3.7.18 Rapport med innstilling fra sakkyndig utvalg for akkrediterte fagområder</vt:lpwstr>
  </property>
  <property fmtid="{D5CDD505-2E9C-101B-9397-08002B2CF9AE}" pid="23" name="XDT00192">
    <vt:lpwstr>Revisjon eksisterende studieplaner</vt:lpwstr>
  </property>
  <property fmtid="{D5CDD505-2E9C-101B-9397-08002B2CF9AE}" pid="24" name="XDT00290">
    <vt:lpwstr>Skjema for utfylling av kvalitetsgrunnlag for akkreditering av utdanninger ved akkreditert fagområde</vt:lpwstr>
  </property>
  <property fmtid="{D5CDD505-2E9C-101B-9397-08002B2CF9AE}" pid="25" name="XDT00291">
    <vt:lpwstr>Rapport med innstilling fra sakkyndig utvalg for akkrediterte fagområder</vt:lpwstr>
  </property>
  <property fmtid="{D5CDD505-2E9C-101B-9397-08002B2CF9AE}" pid="26" name="XR00149">
    <vt:lpwstr>.22.4</vt:lpwstr>
  </property>
  <property fmtid="{D5CDD505-2E9C-101B-9397-08002B2CF9AE}" pid="27" name="XR00161">
    <vt:lpwstr>.18.1.1</vt:lpwstr>
  </property>
  <property fmtid="{D5CDD505-2E9C-101B-9397-08002B2CF9AE}" pid="28" name="XR00162">
    <vt:lpwstr>.18.1.2</vt:lpwstr>
  </property>
  <property fmtid="{D5CDD505-2E9C-101B-9397-08002B2CF9AE}" pid="29" name="XR00163">
    <vt:lpwstr>.18.1.3</vt:lpwstr>
  </property>
  <property fmtid="{D5CDD505-2E9C-101B-9397-08002B2CF9AE}" pid="30" name="XR00164">
    <vt:lpwstr>.18.1.4</vt:lpwstr>
  </property>
  <property fmtid="{D5CDD505-2E9C-101B-9397-08002B2CF9AE}" pid="31" name="XRF00149">
    <vt:lpwstr>DNV-ST-0029-MTP, Section 4 Development and maintenance</vt:lpwstr>
  </property>
  <property fmtid="{D5CDD505-2E9C-101B-9397-08002B2CF9AE}" pid="32" name="XRF00161">
    <vt:lpwstr>LOV-2018-06-08-28 Lov om høyere yrkesfaglig utdanning (fagskoleloven)</vt:lpwstr>
  </property>
  <property fmtid="{D5CDD505-2E9C-101B-9397-08002B2CF9AE}" pid="33" name="XRF00162">
    <vt:lpwstr>FOR-2019-07-11-1005 Forskrift om høyere yrkesfaglig utdanning (fagskoleforskriften)</vt:lpwstr>
  </property>
  <property fmtid="{D5CDD505-2E9C-101B-9397-08002B2CF9AE}" pid="34" name="XRF00163">
    <vt:lpwstr>FOR-2021-06-30-2379 Forskrift om høyere yrkesfaglig utdanning ved Trøndelag høyere yrkesfagskole</vt:lpwstr>
  </property>
  <property fmtid="{D5CDD505-2E9C-101B-9397-08002B2CF9AE}" pid="35" name="XRF00164">
    <vt:lpwstr>FOR-2020-04-23-853 Forskrift om akkreditering av og tilsyn med høyere yrkesfaglig utdanning (fagskoletilsynsforskriften) </vt:lpwstr>
  </property>
  <property fmtid="{D5CDD505-2E9C-101B-9397-08002B2CF9AE}" pid="36" name="XRL00149">
    <vt:lpwstr>.22.4 DNV-ST-0029-MTP, Section 4 Development and maintenance</vt:lpwstr>
  </property>
  <property fmtid="{D5CDD505-2E9C-101B-9397-08002B2CF9AE}" pid="37" name="XRL00161">
    <vt:lpwstr>.18.1.1 LOV-2018-06-08-28 Lov om høyere yrkesfaglig utdanning (fagskoleloven)</vt:lpwstr>
  </property>
  <property fmtid="{D5CDD505-2E9C-101B-9397-08002B2CF9AE}" pid="38" name="XRL00162">
    <vt:lpwstr>.18.1.2 FOR-2019-07-11-1005 Forskrift om høyere yrkesfaglig utdanning (fagskoleforskriften)</vt:lpwstr>
  </property>
  <property fmtid="{D5CDD505-2E9C-101B-9397-08002B2CF9AE}" pid="39" name="XRL00163">
    <vt:lpwstr>.18.1.3 FOR-2021-06-30-2379 Forskrift om høyere yrkesfaglig utdanning ved Trøndelag høyere yrkesfagskole</vt:lpwstr>
  </property>
  <property fmtid="{D5CDD505-2E9C-101B-9397-08002B2CF9AE}" pid="40" name="XRL00164">
    <vt:lpwstr>.18.1.4 FOR-2020-04-23-853 Forskrift om akkreditering av og tilsyn med høyere yrkesfaglig utdanning (fagskoletilsynsforskriften) </vt:lpwstr>
  </property>
  <property fmtid="{D5CDD505-2E9C-101B-9397-08002B2CF9AE}" pid="41" name="XRT00149">
    <vt:lpwstr>DNV-ST-0029-MTP, Section 4 Development and maintenance</vt:lpwstr>
  </property>
  <property fmtid="{D5CDD505-2E9C-101B-9397-08002B2CF9AE}" pid="42" name="XRT00161">
    <vt:lpwstr>LOV-2018-06-08-28 Lov om høyere yrkesfaglig utdanning (fagskoleloven)</vt:lpwstr>
  </property>
  <property fmtid="{D5CDD505-2E9C-101B-9397-08002B2CF9AE}" pid="43" name="XRT00162">
    <vt:lpwstr>FOR-2019-07-11-1005 Forskrift om høyere yrkesfaglig utdanning (fagskoleforskriften)</vt:lpwstr>
  </property>
  <property fmtid="{D5CDD505-2E9C-101B-9397-08002B2CF9AE}" pid="44" name="XRT00163">
    <vt:lpwstr>FOR-2021-06-30-2379 Forskrift om høyere yrkesfaglig utdanning ved Trøndelag høyere yrkesfagskole</vt:lpwstr>
  </property>
  <property fmtid="{D5CDD505-2E9C-101B-9397-08002B2CF9AE}" pid="45" name="XRT00164">
    <vt:lpwstr>FOR-2020-04-23-853 Forskrift om akkreditering av og tilsyn med høyere yrkesfaglig utdanning (fagskoletilsynsforskriften) </vt:lpwstr>
  </property>
</Properties>
</file>