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02699B59" w14:textId="77777777" w:rsidTr="006316A1">
        <w:tblPrEx>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CF0617" w:rsidP="00FF57CE" w14:paraId="02699B57" w14:textId="4D0EC418">
            <w:pPr>
              <w:spacing w:before="120" w:after="120"/>
              <w:rPr>
                <w:rFonts w:ascii="Oswald" w:hAnsi="Oswald"/>
                <w:b/>
                <w:sz w:val="28"/>
              </w:rPr>
            </w:pPr>
            <w:r>
              <w:rPr>
                <w:b/>
                <w:sz w:val="28"/>
              </w:rPr>
              <w:t xml:space="preserve"> </w:t>
            </w: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75pt">
                  <v:imagedata r:id="rId4" o:title="Logo THYF" croptop="5730f"/>
                </v:shape>
              </w:pict>
            </w:r>
          </w:p>
        </w:tc>
        <w:tc>
          <w:tcPr>
            <w:tcW w:w="2126" w:type="dxa"/>
            <w:tcBorders>
              <w:top w:val="single" w:sz="12" w:space="0" w:color="auto"/>
              <w:left w:val="nil"/>
              <w:bottom w:val="single" w:sz="6" w:space="0" w:color="auto"/>
            </w:tcBorders>
          </w:tcPr>
          <w:p w:rsidR="001C0FFA" w:rsidRPr="00CF0617" w14:paraId="02699B58" w14:textId="77777777">
            <w:pPr>
              <w:spacing w:before="180" w:after="120"/>
            </w:pPr>
            <w:r w:rsidRPr="00CF0617">
              <w:rPr>
                <w:sz w:val="16"/>
              </w:rPr>
              <w:t xml:space="preserve">Dok.id.: </w:t>
            </w:r>
            <w:r w:rsidRPr="00CF0617">
              <w:rPr>
                <w:szCs w:val="18"/>
              </w:rPr>
              <w:fldChar w:fldCharType="begin" w:fldLock="1"/>
            </w:r>
            <w:r w:rsidRPr="00CF0617">
              <w:rPr>
                <w:color w:val="000080"/>
                <w:szCs w:val="18"/>
              </w:rPr>
              <w:instrText xml:space="preserve"> DOCPROPERTY EK_RefNr </w:instrText>
            </w:r>
            <w:r w:rsidRPr="00CF0617">
              <w:rPr>
                <w:szCs w:val="18"/>
              </w:rPr>
              <w:fldChar w:fldCharType="separate"/>
            </w:r>
            <w:r w:rsidRPr="00CF0617">
              <w:rPr>
                <w:color w:val="000080"/>
                <w:szCs w:val="18"/>
              </w:rPr>
              <w:t>1.4.2</w:t>
            </w:r>
            <w:r w:rsidRPr="00CF0617">
              <w:rPr>
                <w:szCs w:val="18"/>
              </w:rPr>
              <w:fldChar w:fldCharType="end"/>
            </w:r>
          </w:p>
        </w:tc>
      </w:tr>
      <w:tr w14:paraId="02699B5C" w14:textId="77777777" w:rsidTr="006316A1">
        <w:tblPrEx>
          <w:tblW w:w="9214" w:type="dxa"/>
          <w:tblInd w:w="71" w:type="dxa"/>
          <w:tblLayout w:type="fixed"/>
          <w:tblCellMar>
            <w:left w:w="71" w:type="dxa"/>
            <w:right w:w="71" w:type="dxa"/>
          </w:tblCellMar>
          <w:tblLook w:val="0000"/>
        </w:tblPrEx>
        <w:trPr>
          <w:cantSplit/>
        </w:trPr>
        <w:tc>
          <w:tcPr>
            <w:tcW w:w="7088" w:type="dxa"/>
            <w:gridSpan w:val="4"/>
            <w:tcBorders>
              <w:top w:val="single" w:sz="6" w:space="0" w:color="auto"/>
              <w:bottom w:val="single" w:sz="6" w:space="0" w:color="auto"/>
              <w:right w:val="single" w:sz="6" w:space="0" w:color="auto"/>
            </w:tcBorders>
          </w:tcPr>
          <w:p w:rsidR="001C0FFA" w:rsidRPr="00CF0617" w14:paraId="02699B5A" w14:textId="77777777">
            <w:pPr>
              <w:spacing w:before="80" w:after="80"/>
              <w:rPr>
                <w:b/>
              </w:rPr>
            </w:pPr>
            <w:r w:rsidRPr="00CF0617">
              <w:rPr>
                <w:b/>
              </w:rPr>
              <w:fldChar w:fldCharType="begin" w:fldLock="1"/>
            </w:r>
            <w:r w:rsidRPr="00CF0617">
              <w:rPr>
                <w:b/>
                <w:color w:val="000080"/>
              </w:rPr>
              <w:instrText xml:space="preserve"> DOCPROPERTY EK_DokTittel </w:instrText>
            </w:r>
            <w:r w:rsidRPr="00CF0617">
              <w:rPr>
                <w:b/>
              </w:rPr>
              <w:fldChar w:fldCharType="separate"/>
            </w:r>
            <w:r w:rsidRPr="00CF0617">
              <w:rPr>
                <w:b/>
                <w:color w:val="000080"/>
              </w:rPr>
              <w:t>Prosedyre for evaluering og godkjenning av underleverandører</w:t>
            </w:r>
            <w:r w:rsidRPr="00CF0617">
              <w:rPr>
                <w:b/>
              </w:rPr>
              <w:fldChar w:fldCharType="end"/>
            </w:r>
            <w:bookmarkStart w:id="0" w:name="tempHer"/>
            <w:bookmarkEnd w:id="0"/>
          </w:p>
        </w:tc>
        <w:tc>
          <w:tcPr>
            <w:tcW w:w="2126" w:type="dxa"/>
            <w:tcBorders>
              <w:top w:val="single" w:sz="6" w:space="0" w:color="auto"/>
              <w:left w:val="nil"/>
              <w:bottom w:val="single" w:sz="6" w:space="0" w:color="auto"/>
            </w:tcBorders>
          </w:tcPr>
          <w:p w:rsidR="001C0FFA" w14:paraId="02699B5B" w14:textId="77777777">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tc>
      </w:tr>
      <w:tr w14:paraId="02699B67" w14:textId="77777777" w:rsidTr="006316A1">
        <w:tblPrEx>
          <w:tblW w:w="9214" w:type="dxa"/>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14:paraId="02699B5D" w14:textId="77777777">
            <w:pPr>
              <w:rPr>
                <w:color w:val="000080"/>
                <w:sz w:val="20"/>
              </w:rPr>
            </w:pPr>
            <w:r>
              <w:rPr>
                <w:sz w:val="16"/>
              </w:rPr>
              <w:t>Utgave:</w:t>
            </w:r>
          </w:p>
          <w:p w:rsidR="001C0FFA" w:rsidRPr="00CF0617" w14:paraId="02699B5E" w14:textId="77777777">
            <w:pPr>
              <w:jc w:val="center"/>
              <w:rPr>
                <w:sz w:val="20"/>
              </w:rPr>
            </w:pPr>
            <w:r w:rsidRPr="00CF0617">
              <w:rPr>
                <w:szCs w:val="18"/>
              </w:rPr>
              <w:fldChar w:fldCharType="begin" w:fldLock="1"/>
            </w:r>
            <w:r w:rsidRPr="00CF0617">
              <w:rPr>
                <w:color w:val="000080"/>
                <w:szCs w:val="18"/>
              </w:rPr>
              <w:instrText xml:space="preserve"> DOCPROPERTY EK_Utgave </w:instrText>
            </w:r>
            <w:r w:rsidRPr="00CF0617">
              <w:rPr>
                <w:szCs w:val="18"/>
              </w:rPr>
              <w:fldChar w:fldCharType="separate"/>
            </w:r>
            <w:r w:rsidRPr="00CF0617">
              <w:rPr>
                <w:color w:val="000080"/>
                <w:szCs w:val="18"/>
              </w:rPr>
              <w:t>1.02</w:t>
            </w:r>
            <w:r w:rsidRPr="00CF0617">
              <w:rPr>
                <w:szCs w:val="18"/>
              </w:rPr>
              <w:fldChar w:fldCharType="end"/>
            </w:r>
          </w:p>
        </w:tc>
        <w:tc>
          <w:tcPr>
            <w:tcW w:w="2268" w:type="dxa"/>
            <w:tcBorders>
              <w:top w:val="nil"/>
              <w:left w:val="single" w:sz="6" w:space="0" w:color="auto"/>
              <w:bottom w:val="single" w:sz="12" w:space="0" w:color="auto"/>
              <w:right w:val="nil"/>
            </w:tcBorders>
          </w:tcPr>
          <w:p w:rsidR="001C0FFA" w14:paraId="02699B5F" w14:textId="77777777">
            <w:pPr>
              <w:rPr>
                <w:sz w:val="20"/>
              </w:rPr>
            </w:pPr>
            <w:r>
              <w:rPr>
                <w:sz w:val="16"/>
              </w:rPr>
              <w:t>Skrevet av:</w:t>
            </w:r>
          </w:p>
          <w:p w:rsidR="001C0FFA" w:rsidRPr="00CF0617" w14:paraId="02699B60" w14:textId="77777777">
            <w:pPr>
              <w:jc w:val="center"/>
              <w:rPr>
                <w:sz w:val="20"/>
              </w:rPr>
            </w:pPr>
            <w:r w:rsidRPr="00CF0617">
              <w:rPr>
                <w:szCs w:val="18"/>
              </w:rPr>
              <w:fldChar w:fldCharType="begin" w:fldLock="1"/>
            </w:r>
            <w:r w:rsidRPr="00CF0617">
              <w:rPr>
                <w:color w:val="000080"/>
                <w:szCs w:val="18"/>
              </w:rPr>
              <w:instrText xml:space="preserve"> DOCPROPERTY EK_SkrevetAv </w:instrText>
            </w:r>
            <w:r w:rsidRPr="00CF0617">
              <w:rPr>
                <w:szCs w:val="18"/>
              </w:rPr>
              <w:fldChar w:fldCharType="separate"/>
            </w:r>
            <w:r w:rsidRPr="00CF0617">
              <w:rPr>
                <w:color w:val="000080"/>
                <w:szCs w:val="18"/>
              </w:rPr>
              <w:t>Hans Tore Mikkelsen</w:t>
            </w:r>
            <w:r w:rsidRPr="00CF0617">
              <w:rPr>
                <w:szCs w:val="18"/>
              </w:rPr>
              <w:fldChar w:fldCharType="end"/>
            </w:r>
          </w:p>
        </w:tc>
        <w:tc>
          <w:tcPr>
            <w:tcW w:w="1417" w:type="dxa"/>
            <w:tcBorders>
              <w:top w:val="nil"/>
              <w:left w:val="single" w:sz="6" w:space="0" w:color="auto"/>
              <w:bottom w:val="single" w:sz="12" w:space="0" w:color="auto"/>
              <w:right w:val="nil"/>
            </w:tcBorders>
          </w:tcPr>
          <w:p w:rsidR="001C0FFA" w14:paraId="02699B61" w14:textId="77777777">
            <w:pPr>
              <w:rPr>
                <w:sz w:val="16"/>
              </w:rPr>
            </w:pPr>
            <w:r>
              <w:rPr>
                <w:sz w:val="16"/>
              </w:rPr>
              <w:t>Gjelder fra:</w:t>
            </w:r>
          </w:p>
          <w:p w:rsidR="001C0FFA" w:rsidRPr="00CF0617" w14:paraId="02699B62" w14:textId="77777777">
            <w:pPr>
              <w:jc w:val="center"/>
              <w:rPr>
                <w:szCs w:val="18"/>
              </w:rPr>
            </w:pPr>
            <w:r w:rsidRPr="00CF0617">
              <w:rPr>
                <w:szCs w:val="18"/>
              </w:rPr>
              <w:fldChar w:fldCharType="begin" w:fldLock="1"/>
            </w:r>
            <w:r w:rsidRPr="00CF0617">
              <w:rPr>
                <w:color w:val="000080"/>
                <w:szCs w:val="18"/>
              </w:rPr>
              <w:instrText xml:space="preserve"> DOCPROPERTY EK_GjelderFra </w:instrText>
            </w:r>
            <w:r w:rsidRPr="00CF0617">
              <w:rPr>
                <w:szCs w:val="18"/>
              </w:rPr>
              <w:fldChar w:fldCharType="separate"/>
            </w:r>
            <w:r w:rsidRPr="00CF0617">
              <w:rPr>
                <w:color w:val="000080"/>
                <w:szCs w:val="18"/>
              </w:rPr>
              <w:t>15.11.2023</w:t>
            </w:r>
            <w:r w:rsidRPr="00CF0617">
              <w:rPr>
                <w:szCs w:val="18"/>
              </w:rPr>
              <w:fldChar w:fldCharType="end"/>
            </w:r>
          </w:p>
        </w:tc>
        <w:tc>
          <w:tcPr>
            <w:tcW w:w="2410" w:type="dxa"/>
            <w:tcBorders>
              <w:top w:val="nil"/>
              <w:left w:val="single" w:sz="6" w:space="0" w:color="auto"/>
              <w:bottom w:val="single" w:sz="12" w:space="0" w:color="auto"/>
              <w:right w:val="nil"/>
            </w:tcBorders>
          </w:tcPr>
          <w:p w:rsidR="001C0FFA" w14:paraId="02699B63" w14:textId="77777777">
            <w:pPr>
              <w:rPr>
                <w:color w:val="000080"/>
                <w:sz w:val="20"/>
              </w:rPr>
            </w:pPr>
            <w:r>
              <w:rPr>
                <w:sz w:val="16"/>
              </w:rPr>
              <w:t>Godkjent av:</w:t>
            </w:r>
          </w:p>
          <w:p w:rsidR="001C0FFA" w:rsidRPr="00CF0617" w14:paraId="02699B64" w14:textId="77777777">
            <w:pPr>
              <w:jc w:val="center"/>
              <w:rPr>
                <w:szCs w:val="18"/>
              </w:rPr>
            </w:pPr>
            <w:r w:rsidRPr="00CF0617">
              <w:rPr>
                <w:szCs w:val="18"/>
              </w:rPr>
              <w:fldChar w:fldCharType="begin" w:fldLock="1"/>
            </w:r>
            <w:r w:rsidRPr="00CF0617">
              <w:rPr>
                <w:color w:val="000080"/>
                <w:szCs w:val="18"/>
              </w:rPr>
              <w:instrText xml:space="preserve"> DOCPROPERTY EK_Signatur </w:instrText>
            </w:r>
            <w:r w:rsidRPr="00CF0617">
              <w:rPr>
                <w:szCs w:val="18"/>
              </w:rPr>
              <w:fldChar w:fldCharType="separate"/>
            </w:r>
            <w:r w:rsidRPr="00CF0617">
              <w:rPr>
                <w:color w:val="000080"/>
                <w:szCs w:val="18"/>
              </w:rPr>
              <w:t>Svein Ove Dyrdal</w:t>
            </w:r>
            <w:r w:rsidRPr="00CF0617">
              <w:rPr>
                <w:szCs w:val="18"/>
              </w:rPr>
              <w:fldChar w:fldCharType="end"/>
            </w:r>
          </w:p>
        </w:tc>
        <w:tc>
          <w:tcPr>
            <w:tcW w:w="2126" w:type="dxa"/>
            <w:tcBorders>
              <w:top w:val="nil"/>
              <w:left w:val="single" w:sz="6" w:space="0" w:color="auto"/>
              <w:bottom w:val="single" w:sz="12" w:space="0" w:color="auto"/>
            </w:tcBorders>
          </w:tcPr>
          <w:p w:rsidR="001C0FFA" w14:paraId="02699B65" w14:textId="77777777">
            <w:pPr>
              <w:rPr>
                <w:sz w:val="20"/>
              </w:rPr>
            </w:pPr>
            <w:r>
              <w:rPr>
                <w:sz w:val="16"/>
              </w:rPr>
              <w:t>Sidenr</w:t>
            </w:r>
            <w:r>
              <w:rPr>
                <w:sz w:val="16"/>
              </w:rPr>
              <w:t>:</w:t>
            </w:r>
          </w:p>
          <w:p w:rsidR="001C0FFA" w:rsidRPr="00CF0617" w14:paraId="02699B66" w14:textId="06D85798">
            <w:pPr>
              <w:jc w:val="center"/>
              <w:rPr>
                <w:szCs w:val="18"/>
              </w:rPr>
            </w:pPr>
            <w:r w:rsidRPr="00CF0617">
              <w:rPr>
                <w:szCs w:val="18"/>
              </w:rPr>
              <w:fldChar w:fldCharType="begin"/>
            </w:r>
            <w:r w:rsidRPr="00CF0617">
              <w:rPr>
                <w:szCs w:val="18"/>
              </w:rPr>
              <w:instrText xml:space="preserve">PAGE </w:instrText>
            </w:r>
            <w:r w:rsidRPr="00CF0617">
              <w:rPr>
                <w:szCs w:val="18"/>
              </w:rPr>
              <w:fldChar w:fldCharType="separate"/>
            </w:r>
            <w:r w:rsidRPr="00CF0617">
              <w:rPr>
                <w:szCs w:val="18"/>
              </w:rPr>
              <w:t>1</w:t>
            </w:r>
            <w:r w:rsidRPr="00CF0617">
              <w:rPr>
                <w:szCs w:val="18"/>
              </w:rPr>
              <w:fldChar w:fldCharType="end"/>
            </w:r>
            <w:r w:rsidRPr="00CF0617">
              <w:rPr>
                <w:szCs w:val="18"/>
              </w:rPr>
              <w:t xml:space="preserve"> av </w:t>
            </w:r>
            <w:r w:rsidRPr="00CF0617">
              <w:rPr>
                <w:szCs w:val="18"/>
              </w:rPr>
              <w:fldChar w:fldCharType="begin"/>
            </w:r>
            <w:r w:rsidRPr="00CF0617">
              <w:rPr>
                <w:szCs w:val="18"/>
              </w:rPr>
              <w:instrText>NUMPAGES</w:instrText>
            </w:r>
            <w:r w:rsidRPr="00CF0617">
              <w:rPr>
                <w:szCs w:val="18"/>
              </w:rPr>
              <w:fldChar w:fldCharType="separate"/>
            </w:r>
            <w:r w:rsidRPr="00CF0617">
              <w:rPr>
                <w:szCs w:val="18"/>
              </w:rPr>
              <w:t>2</w:t>
            </w:r>
            <w:r w:rsidRPr="00CF0617">
              <w:rPr>
                <w:szCs w:val="18"/>
              </w:rPr>
              <w:fldChar w:fldCharType="end"/>
            </w:r>
          </w:p>
        </w:tc>
      </w:tr>
    </w:tbl>
    <w:p w:rsidR="001C0FFA" w:rsidRPr="006316A1" w:rsidP="00202A4B" w14:paraId="02699B68" w14:textId="696E65ED">
      <w:pPr>
        <w:spacing w:before="240" w:after="120"/>
        <w:jc w:val="both"/>
        <w:rPr>
          <w:b/>
          <w:bCs/>
          <w:sz w:val="22"/>
          <w:szCs w:val="24"/>
        </w:rPr>
      </w:pPr>
      <w:r w:rsidRPr="006316A1">
        <w:rPr>
          <w:b/>
          <w:bCs/>
          <w:sz w:val="22"/>
          <w:szCs w:val="24"/>
        </w:rPr>
        <w:t>1. Formål</w:t>
      </w:r>
    </w:p>
    <w:p w:rsidR="006316A1" w:rsidRPr="00CF0617" w:rsidP="00202A4B" w14:paraId="02699B69" w14:textId="25F2A6A4">
      <w:pPr>
        <w:spacing w:after="120"/>
        <w:jc w:val="both"/>
        <w:rPr>
          <w:szCs w:val="18"/>
        </w:rPr>
      </w:pPr>
      <w:r>
        <w:rPr>
          <w:szCs w:val="18"/>
        </w:rPr>
        <w:t>Prosedyren skal sikre at leverandører og underleverandører leverer varer og tjenester som tilfredsstiller gitte krav til kvalitet.</w:t>
      </w:r>
    </w:p>
    <w:p w:rsidR="006316A1" w:rsidRPr="006316A1" w:rsidP="00202A4B" w14:paraId="555CDC90" w14:textId="61E0B71E">
      <w:pPr>
        <w:spacing w:before="240" w:after="120"/>
        <w:jc w:val="both"/>
        <w:rPr>
          <w:b/>
          <w:bCs/>
          <w:sz w:val="22"/>
          <w:szCs w:val="24"/>
        </w:rPr>
      </w:pPr>
      <w:r w:rsidRPr="006316A1">
        <w:rPr>
          <w:b/>
          <w:bCs/>
          <w:sz w:val="22"/>
          <w:szCs w:val="24"/>
        </w:rPr>
        <w:t xml:space="preserve">2. </w:t>
      </w:r>
      <w:r w:rsidR="00E53D35">
        <w:rPr>
          <w:b/>
          <w:bCs/>
          <w:sz w:val="22"/>
          <w:szCs w:val="24"/>
        </w:rPr>
        <w:t>O</w:t>
      </w:r>
      <w:r w:rsidRPr="006316A1">
        <w:rPr>
          <w:b/>
          <w:bCs/>
          <w:sz w:val="22"/>
          <w:szCs w:val="24"/>
        </w:rPr>
        <w:t>mfang</w:t>
      </w:r>
    </w:p>
    <w:p w:rsidR="006316A1" w:rsidP="00202A4B" w14:paraId="1012356A" w14:textId="45AEAB40">
      <w:pPr>
        <w:spacing w:after="120"/>
        <w:jc w:val="both"/>
      </w:pPr>
      <w:r>
        <w:t xml:space="preserve">Prosedyren gjelder for </w:t>
      </w:r>
      <w:r w:rsidR="000D7953">
        <w:t xml:space="preserve">alle utdanningsområder ved Trøndelag høyere yrkesfagskole (THYF). Den omfatter </w:t>
      </w:r>
      <w:r>
        <w:t>alle med innkjøpsmyndighet som foretar innkjøp for THYF.</w:t>
      </w:r>
      <w:r w:rsidR="00955BAD">
        <w:t xml:space="preserve"> </w:t>
      </w:r>
    </w:p>
    <w:p w:rsidR="00FF36A1" w:rsidRPr="006316A1" w:rsidP="00202A4B" w14:paraId="1C970B8B" w14:textId="77777777">
      <w:pPr>
        <w:spacing w:before="240" w:after="120"/>
        <w:jc w:val="both"/>
        <w:rPr>
          <w:b/>
          <w:bCs/>
          <w:sz w:val="22"/>
          <w:szCs w:val="24"/>
        </w:rPr>
      </w:pPr>
      <w:r>
        <w:rPr>
          <w:b/>
          <w:bCs/>
          <w:sz w:val="22"/>
          <w:szCs w:val="24"/>
        </w:rPr>
        <w:t>3</w:t>
      </w:r>
      <w:r w:rsidRPr="006316A1">
        <w:rPr>
          <w:b/>
          <w:bCs/>
          <w:sz w:val="22"/>
          <w:szCs w:val="24"/>
        </w:rPr>
        <w:t>. Ansvar og myndighet</w:t>
      </w:r>
    </w:p>
    <w:p w:rsidR="00202A4B" w:rsidP="00955BAD" w14:paraId="7879918D" w14:textId="03FC30A0">
      <w:pPr>
        <w:spacing w:after="120"/>
        <w:jc w:val="both"/>
      </w:pPr>
      <w:r>
        <w:t xml:space="preserve">Rektor har </w:t>
      </w:r>
      <w:r w:rsidRPr="005660A1">
        <w:t>overordnet ansvar</w:t>
      </w:r>
      <w:r w:rsidR="000D7953">
        <w:t xml:space="preserve"> </w:t>
      </w:r>
      <w:r>
        <w:t xml:space="preserve">for aktiviteter ved THYF, </w:t>
      </w:r>
      <w:r w:rsidR="000D7953">
        <w:t xml:space="preserve">og er </w:t>
      </w:r>
      <w:r>
        <w:t xml:space="preserve">ansvarlig for </w:t>
      </w:r>
      <w:r w:rsidR="000D7953">
        <w:t>budsjett</w:t>
      </w:r>
      <w:r>
        <w:t xml:space="preserve"> og innkjøp.</w:t>
      </w:r>
    </w:p>
    <w:p w:rsidR="00D364F6" w:rsidP="00955BAD" w14:paraId="502CCB31" w14:textId="2589034E">
      <w:pPr>
        <w:spacing w:after="120"/>
        <w:jc w:val="both"/>
      </w:pPr>
      <w:r>
        <w:t>Administrativ leder</w:t>
      </w:r>
      <w:r w:rsidR="000D7953">
        <w:t>,</w:t>
      </w:r>
      <w:r>
        <w:t xml:space="preserve"> utdanningsledere </w:t>
      </w:r>
      <w:r w:rsidR="000D7953">
        <w:t xml:space="preserve">og utviklingsleder </w:t>
      </w:r>
      <w:r>
        <w:t xml:space="preserve">har fullmakt til å foreta innkjøp innenfor eget budsjettområde og rammer for innkjøp bestemt av rektor. </w:t>
      </w:r>
    </w:p>
    <w:p w:rsidR="00955BAD" w:rsidP="00955BAD" w14:paraId="0B86BA8C" w14:textId="6CB9FF01">
      <w:pPr>
        <w:spacing w:after="120"/>
        <w:jc w:val="both"/>
      </w:pPr>
      <w:r>
        <w:t>Personell bemyndiget av rektor, administrativ leder og utdanningsleder kan gjennomføre innkjøp innenfor angitte rammer.</w:t>
      </w:r>
    </w:p>
    <w:p w:rsidR="006316A1" w:rsidRPr="006316A1" w:rsidP="00202A4B" w14:paraId="00D3BFB7" w14:textId="2DA301F6">
      <w:pPr>
        <w:spacing w:before="240" w:after="120"/>
        <w:jc w:val="both"/>
        <w:rPr>
          <w:b/>
          <w:bCs/>
          <w:sz w:val="22"/>
          <w:szCs w:val="24"/>
        </w:rPr>
      </w:pPr>
      <w:r>
        <w:rPr>
          <w:b/>
          <w:bCs/>
          <w:sz w:val="22"/>
          <w:szCs w:val="24"/>
        </w:rPr>
        <w:t>4</w:t>
      </w:r>
      <w:r w:rsidRPr="006316A1" w:rsidR="00CE7405">
        <w:rPr>
          <w:b/>
          <w:bCs/>
          <w:sz w:val="22"/>
          <w:szCs w:val="24"/>
        </w:rPr>
        <w:t>. Definisjoner</w:t>
      </w:r>
    </w:p>
    <w:p w:rsidR="006316A1" w:rsidP="00AA2837" w14:paraId="4D9815CE" w14:textId="5E896BA8">
      <w:pPr>
        <w:spacing w:after="120"/>
        <w:jc w:val="both"/>
      </w:pPr>
    </w:p>
    <w:tbl>
      <w:tblPr>
        <w:tblStyle w:val="TableGrid"/>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7414"/>
      </w:tblGrid>
      <w:tr w14:paraId="2932AAE8" w14:textId="77777777" w:rsidTr="00FB6C17">
        <w:tblPrEx>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4"/>
        </w:trPr>
        <w:tc>
          <w:tcPr>
            <w:tcW w:w="1993" w:type="dxa"/>
          </w:tcPr>
          <w:p w:rsidR="00AA2837" w:rsidRPr="009F0351" w:rsidP="00AA2837" w14:paraId="305B1209" w14:textId="0468BB79">
            <w:pPr>
              <w:spacing w:after="120"/>
              <w:jc w:val="both"/>
              <w:rPr>
                <w:b/>
                <w:bCs/>
              </w:rPr>
            </w:pPr>
            <w:r w:rsidRPr="009F0351">
              <w:rPr>
                <w:b/>
                <w:bCs/>
              </w:rPr>
              <w:t>Interessepart/</w:t>
            </w:r>
            <w:r w:rsidR="00FB6C17">
              <w:rPr>
                <w:b/>
                <w:bCs/>
              </w:rPr>
              <w:t xml:space="preserve"> </w:t>
            </w:r>
            <w:r w:rsidRPr="009F0351">
              <w:rPr>
                <w:b/>
                <w:bCs/>
              </w:rPr>
              <w:t>interessent:</w:t>
            </w:r>
          </w:p>
        </w:tc>
        <w:tc>
          <w:tcPr>
            <w:tcW w:w="7414" w:type="dxa"/>
          </w:tcPr>
          <w:p w:rsidR="00AA2837" w:rsidP="00EB2826" w14:paraId="68BDD014" w14:textId="7134131C">
            <w:pPr>
              <w:spacing w:after="120"/>
            </w:pPr>
            <w:r>
              <w:t>Person eller organisasjon som kan påvirke eller bli</w:t>
            </w:r>
            <w:r w:rsidR="00FB6C17">
              <w:t>r</w:t>
            </w:r>
            <w:r>
              <w:t xml:space="preserve"> påvirket av en beslutning, aktivitet, leveranse av vare eller tjeneste.</w:t>
            </w:r>
          </w:p>
          <w:p w:rsidR="009F0351" w:rsidRPr="009F0351" w:rsidP="00EB2826" w14:paraId="30CFA67C" w14:textId="2680D4AE">
            <w:pPr>
              <w:spacing w:after="120"/>
              <w:rPr>
                <w:i/>
                <w:iCs/>
              </w:rPr>
            </w:pPr>
            <w:r>
              <w:rPr>
                <w:i/>
                <w:iCs/>
              </w:rPr>
              <w:t>Eksemp</w:t>
            </w:r>
            <w:r w:rsidR="00AF2030">
              <w:rPr>
                <w:i/>
                <w:iCs/>
              </w:rPr>
              <w:t>l</w:t>
            </w:r>
            <w:r>
              <w:rPr>
                <w:i/>
                <w:iCs/>
              </w:rPr>
              <w:t>e</w:t>
            </w:r>
            <w:r w:rsidR="00AF2030">
              <w:rPr>
                <w:i/>
                <w:iCs/>
              </w:rPr>
              <w:t>r</w:t>
            </w:r>
            <w:r>
              <w:rPr>
                <w:i/>
                <w:iCs/>
              </w:rPr>
              <w:t xml:space="preserve">: </w:t>
            </w:r>
            <w:r w:rsidR="00EB2826">
              <w:rPr>
                <w:i/>
                <w:iCs/>
              </w:rPr>
              <w:t xml:space="preserve">NOKUT, </w:t>
            </w:r>
            <w:r w:rsidR="00FB6C17">
              <w:rPr>
                <w:i/>
                <w:iCs/>
              </w:rPr>
              <w:t>TRFK</w:t>
            </w:r>
            <w:r>
              <w:rPr>
                <w:i/>
                <w:iCs/>
              </w:rPr>
              <w:t xml:space="preserve">, ansatt, student, </w:t>
            </w:r>
            <w:r w:rsidR="00EB2826">
              <w:rPr>
                <w:i/>
                <w:iCs/>
              </w:rPr>
              <w:t xml:space="preserve">leverandør, </w:t>
            </w:r>
            <w:r>
              <w:rPr>
                <w:i/>
                <w:iCs/>
              </w:rPr>
              <w:t>arbeidsliv</w:t>
            </w:r>
            <w:r w:rsidR="00F804C4">
              <w:rPr>
                <w:i/>
                <w:iCs/>
              </w:rPr>
              <w:t>et</w:t>
            </w:r>
            <w:r>
              <w:rPr>
                <w:i/>
                <w:iCs/>
              </w:rPr>
              <w:t>, m.fl.</w:t>
            </w:r>
          </w:p>
        </w:tc>
      </w:tr>
      <w:tr w14:paraId="0DBADC5A" w14:textId="77777777" w:rsidTr="00FB6C17">
        <w:tblPrEx>
          <w:tblW w:w="9407" w:type="dxa"/>
          <w:tblLook w:val="04A0"/>
        </w:tblPrEx>
        <w:trPr>
          <w:trHeight w:val="688"/>
        </w:trPr>
        <w:tc>
          <w:tcPr>
            <w:tcW w:w="1993" w:type="dxa"/>
          </w:tcPr>
          <w:p w:rsidR="009F0351" w:rsidRPr="009F0351" w:rsidP="009F0351" w14:paraId="4BD5F076" w14:textId="5906C883">
            <w:pPr>
              <w:spacing w:after="120"/>
              <w:jc w:val="both"/>
              <w:rPr>
                <w:b/>
                <w:bCs/>
              </w:rPr>
            </w:pPr>
            <w:r w:rsidRPr="009F0351">
              <w:rPr>
                <w:b/>
                <w:bCs/>
              </w:rPr>
              <w:t>Leverandør:</w:t>
            </w:r>
          </w:p>
        </w:tc>
        <w:tc>
          <w:tcPr>
            <w:tcW w:w="7414" w:type="dxa"/>
          </w:tcPr>
          <w:p w:rsidR="009F0351" w:rsidP="00EB2826" w14:paraId="577EB324" w14:textId="33BB6B51">
            <w:pPr>
              <w:spacing w:after="120"/>
            </w:pPr>
            <w:r>
              <w:t>En o</w:t>
            </w:r>
            <w:r w:rsidR="00696B86">
              <w:t>rganisasjon som leverer et produkt, vare eller en tjeneste.</w:t>
            </w:r>
          </w:p>
          <w:p w:rsidR="009F0351" w:rsidP="00EB2826" w14:paraId="6976CD9D" w14:textId="2560F32D">
            <w:pPr>
              <w:spacing w:after="120"/>
            </w:pPr>
            <w:r>
              <w:rPr>
                <w:i/>
                <w:iCs/>
              </w:rPr>
              <w:t>Eksemp</w:t>
            </w:r>
            <w:r w:rsidR="00AF2030">
              <w:rPr>
                <w:i/>
                <w:iCs/>
              </w:rPr>
              <w:t>l</w:t>
            </w:r>
            <w:r>
              <w:rPr>
                <w:i/>
                <w:iCs/>
              </w:rPr>
              <w:t>e</w:t>
            </w:r>
            <w:r w:rsidR="00AF2030">
              <w:rPr>
                <w:i/>
                <w:iCs/>
              </w:rPr>
              <w:t>r</w:t>
            </w:r>
            <w:r>
              <w:rPr>
                <w:i/>
                <w:iCs/>
              </w:rPr>
              <w:t>: THYF, gjesteforeleser, IKT-leverandør, m.fl.</w:t>
            </w:r>
          </w:p>
        </w:tc>
      </w:tr>
      <w:tr w14:paraId="7AE4FDFD" w14:textId="77777777" w:rsidTr="00FB6C17">
        <w:tblPrEx>
          <w:tblW w:w="9407" w:type="dxa"/>
          <w:tblLook w:val="04A0"/>
        </w:tblPrEx>
        <w:trPr>
          <w:trHeight w:val="932"/>
        </w:trPr>
        <w:tc>
          <w:tcPr>
            <w:tcW w:w="1993" w:type="dxa"/>
          </w:tcPr>
          <w:p w:rsidR="00FB6C17" w:rsidRPr="009F0351" w:rsidP="009F0351" w14:paraId="25A7C285" w14:textId="4B793811">
            <w:pPr>
              <w:spacing w:after="120"/>
              <w:jc w:val="both"/>
              <w:rPr>
                <w:b/>
                <w:bCs/>
              </w:rPr>
            </w:pPr>
            <w:r>
              <w:rPr>
                <w:b/>
                <w:bCs/>
              </w:rPr>
              <w:t>Underleverandør:</w:t>
            </w:r>
          </w:p>
        </w:tc>
        <w:tc>
          <w:tcPr>
            <w:tcW w:w="7414" w:type="dxa"/>
          </w:tcPr>
          <w:p w:rsidR="00FB6C17" w:rsidP="00EB2826" w14:paraId="043C9F98" w14:textId="77777777">
            <w:pPr>
              <w:spacing w:after="120"/>
            </w:pPr>
            <w:r w:rsidRPr="00FB6C17">
              <w:t>E</w:t>
            </w:r>
            <w:r>
              <w:t>n leverandør som utfører en del av et produkt, vare, tjeneste eller leveranse som er avtalt mellom hovedleverandør og den som bestiller</w:t>
            </w:r>
            <w:r w:rsidR="00312360">
              <w:t>.</w:t>
            </w:r>
          </w:p>
          <w:p w:rsidR="00312360" w:rsidRPr="00FB6C17" w:rsidP="00EB2826" w14:paraId="2FDE36B1" w14:textId="75A19A89">
            <w:pPr>
              <w:spacing w:after="120"/>
            </w:pPr>
            <w:r>
              <w:rPr>
                <w:i/>
                <w:iCs/>
              </w:rPr>
              <w:t xml:space="preserve">Eksempler: </w:t>
            </w:r>
            <w:r>
              <w:rPr>
                <w:i/>
                <w:iCs/>
              </w:rPr>
              <w:t>Sikkerhetssenter, leverandør av service på utstyr levert av utstyrsleverandør m.fl.</w:t>
            </w:r>
          </w:p>
        </w:tc>
      </w:tr>
      <w:tr w14:paraId="1580D3AB" w14:textId="77777777" w:rsidTr="00312360">
        <w:tblPrEx>
          <w:tblW w:w="9407" w:type="dxa"/>
          <w:tblLook w:val="04A0"/>
        </w:tblPrEx>
        <w:trPr>
          <w:trHeight w:val="586"/>
        </w:trPr>
        <w:tc>
          <w:tcPr>
            <w:tcW w:w="1993" w:type="dxa"/>
          </w:tcPr>
          <w:p w:rsidR="009F0351" w:rsidRPr="009F0351" w:rsidP="009F0351" w14:paraId="54A413C7" w14:textId="174034B1">
            <w:pPr>
              <w:spacing w:after="120"/>
              <w:jc w:val="both"/>
              <w:rPr>
                <w:b/>
                <w:bCs/>
              </w:rPr>
            </w:pPr>
            <w:r w:rsidRPr="009F0351">
              <w:rPr>
                <w:b/>
                <w:bCs/>
              </w:rPr>
              <w:t xml:space="preserve">Ekstern leverandør: </w:t>
            </w:r>
          </w:p>
        </w:tc>
        <w:tc>
          <w:tcPr>
            <w:tcW w:w="7414" w:type="dxa"/>
          </w:tcPr>
          <w:p w:rsidR="009F0351" w:rsidP="00EB2826" w14:paraId="7C09DCAA" w14:textId="79AB0C78">
            <w:pPr>
              <w:spacing w:after="120"/>
            </w:pPr>
            <w:r>
              <w:t xml:space="preserve">Leverandør som ikke er en del av </w:t>
            </w:r>
            <w:r w:rsidR="000D7953">
              <w:t>THYF</w:t>
            </w:r>
            <w:r>
              <w:t>.</w:t>
            </w:r>
          </w:p>
          <w:p w:rsidR="009F0351" w:rsidP="00D364F6" w14:paraId="3597A424" w14:textId="2AC04125">
            <w:pPr>
              <w:spacing w:after="120"/>
            </w:pPr>
            <w:r>
              <w:rPr>
                <w:i/>
                <w:iCs/>
              </w:rPr>
              <w:t>Eksemp</w:t>
            </w:r>
            <w:r w:rsidR="00AF2030">
              <w:rPr>
                <w:i/>
                <w:iCs/>
              </w:rPr>
              <w:t>l</w:t>
            </w:r>
            <w:r>
              <w:rPr>
                <w:i/>
                <w:iCs/>
              </w:rPr>
              <w:t>e</w:t>
            </w:r>
            <w:r w:rsidR="00AF2030">
              <w:rPr>
                <w:i/>
                <w:iCs/>
              </w:rPr>
              <w:t>r</w:t>
            </w:r>
            <w:r>
              <w:rPr>
                <w:i/>
                <w:iCs/>
              </w:rPr>
              <w:t xml:space="preserve">: </w:t>
            </w:r>
            <w:r w:rsidR="00EB2826">
              <w:rPr>
                <w:i/>
                <w:iCs/>
              </w:rPr>
              <w:t>IKT-</w:t>
            </w:r>
            <w:r w:rsidR="00AF2030">
              <w:rPr>
                <w:i/>
                <w:iCs/>
              </w:rPr>
              <w:t>og</w:t>
            </w:r>
            <w:r w:rsidR="00AF2030">
              <w:rPr>
                <w:i/>
                <w:iCs/>
              </w:rPr>
              <w:t xml:space="preserve"> utstyrs</w:t>
            </w:r>
            <w:r w:rsidR="00EB2826">
              <w:rPr>
                <w:i/>
                <w:iCs/>
              </w:rPr>
              <w:t>leverandør</w:t>
            </w:r>
            <w:r w:rsidR="00F804C4">
              <w:rPr>
                <w:i/>
                <w:iCs/>
              </w:rPr>
              <w:t xml:space="preserve">, </w:t>
            </w:r>
            <w:r>
              <w:rPr>
                <w:i/>
                <w:iCs/>
              </w:rPr>
              <w:t>gjesteforeleser</w:t>
            </w:r>
            <w:r w:rsidR="00D364F6">
              <w:rPr>
                <w:i/>
                <w:iCs/>
              </w:rPr>
              <w:t>, kursholder</w:t>
            </w:r>
            <w:r w:rsidR="00F804C4">
              <w:rPr>
                <w:i/>
                <w:iCs/>
              </w:rPr>
              <w:t xml:space="preserve"> m.fl</w:t>
            </w:r>
            <w:r>
              <w:rPr>
                <w:i/>
                <w:iCs/>
              </w:rPr>
              <w:t>.</w:t>
            </w:r>
          </w:p>
        </w:tc>
      </w:tr>
      <w:tr w14:paraId="083376CA" w14:textId="77777777" w:rsidTr="00312360">
        <w:tblPrEx>
          <w:tblW w:w="9407" w:type="dxa"/>
          <w:tblLook w:val="04A0"/>
        </w:tblPrEx>
        <w:trPr>
          <w:trHeight w:val="624"/>
        </w:trPr>
        <w:tc>
          <w:tcPr>
            <w:tcW w:w="1993" w:type="dxa"/>
          </w:tcPr>
          <w:p w:rsidR="00FB6C17" w:rsidRPr="009F0351" w:rsidP="00FB6C17" w14:paraId="3CEFDF80" w14:textId="029C17EB">
            <w:pPr>
              <w:spacing w:after="120"/>
              <w:jc w:val="both"/>
              <w:rPr>
                <w:b/>
                <w:bCs/>
              </w:rPr>
            </w:pPr>
            <w:r w:rsidRPr="009F0351">
              <w:rPr>
                <w:b/>
                <w:bCs/>
              </w:rPr>
              <w:t xml:space="preserve">Kunde: </w:t>
            </w:r>
          </w:p>
        </w:tc>
        <w:tc>
          <w:tcPr>
            <w:tcW w:w="7414" w:type="dxa"/>
          </w:tcPr>
          <w:p w:rsidR="00FB6C17" w:rsidP="00FB6C17" w14:paraId="394E3178" w14:textId="77777777">
            <w:pPr>
              <w:spacing w:after="120"/>
            </w:pPr>
            <w:r>
              <w:t xml:space="preserve">Person eller </w:t>
            </w:r>
            <w:r>
              <w:t>organisasjon som kan motta eller mottar et produkt eller tjeneste.</w:t>
            </w:r>
          </w:p>
          <w:p w:rsidR="00FB6C17" w:rsidP="00FB6C17" w14:paraId="595E0D5C" w14:textId="702B30D0">
            <w:pPr>
              <w:spacing w:after="120"/>
            </w:pPr>
            <w:r>
              <w:rPr>
                <w:i/>
                <w:iCs/>
              </w:rPr>
              <w:t>Eksempler: Student</w:t>
            </w:r>
            <w:r w:rsidR="00312360">
              <w:rPr>
                <w:i/>
                <w:iCs/>
              </w:rPr>
              <w:t xml:space="preserve"> ved THYF</w:t>
            </w:r>
            <w:r>
              <w:rPr>
                <w:i/>
                <w:iCs/>
              </w:rPr>
              <w:t>, arbeids</w:t>
            </w:r>
            <w:r w:rsidR="00696B86">
              <w:rPr>
                <w:i/>
                <w:iCs/>
              </w:rPr>
              <w:t>- og samfunns</w:t>
            </w:r>
            <w:r>
              <w:rPr>
                <w:i/>
                <w:iCs/>
              </w:rPr>
              <w:t>liv</w:t>
            </w:r>
            <w:r w:rsidR="00696B86">
              <w:rPr>
                <w:i/>
                <w:iCs/>
              </w:rPr>
              <w:t>.</w:t>
            </w:r>
          </w:p>
        </w:tc>
      </w:tr>
    </w:tbl>
    <w:p w:rsidR="00AA2837" w:rsidP="00AA2837" w14:paraId="01B24DB0" w14:textId="77777777">
      <w:pPr>
        <w:spacing w:after="120"/>
        <w:jc w:val="both"/>
      </w:pPr>
    </w:p>
    <w:p w:rsidR="006316A1" w:rsidRPr="006316A1" w:rsidP="00202A4B" w14:paraId="208FE2CF" w14:textId="215EEF2E">
      <w:pPr>
        <w:spacing w:before="240" w:after="120"/>
        <w:jc w:val="both"/>
        <w:rPr>
          <w:b/>
          <w:bCs/>
          <w:sz w:val="22"/>
          <w:szCs w:val="24"/>
        </w:rPr>
      </w:pPr>
      <w:r w:rsidRPr="006316A1">
        <w:rPr>
          <w:b/>
          <w:bCs/>
          <w:sz w:val="22"/>
          <w:szCs w:val="24"/>
        </w:rPr>
        <w:t>5. Beskrivelse</w:t>
      </w:r>
    </w:p>
    <w:p w:rsidR="001C0FFA" w:rsidP="00955BAD" w14:paraId="02699B6C" w14:textId="4C6822F4">
      <w:pPr>
        <w:spacing w:after="120"/>
        <w:jc w:val="both"/>
        <w:rPr>
          <w:szCs w:val="18"/>
        </w:rPr>
      </w:pPr>
      <w:r>
        <w:rPr>
          <w:szCs w:val="18"/>
        </w:rPr>
        <w:t>Anskaffelsesstrategi, r</w:t>
      </w:r>
      <w:r w:rsidR="00E44F21">
        <w:rPr>
          <w:szCs w:val="18"/>
        </w:rPr>
        <w:t xml:space="preserve">etningslinjer for innkjøp utarbeidet av Trøndelag fylkeskommune </w:t>
      </w:r>
      <w:r>
        <w:rPr>
          <w:szCs w:val="18"/>
        </w:rPr>
        <w:t xml:space="preserve">og inngåtte innkjøpsavtaler </w:t>
      </w:r>
      <w:r w:rsidR="00E44F21">
        <w:rPr>
          <w:szCs w:val="18"/>
        </w:rPr>
        <w:t>legges til grunn</w:t>
      </w:r>
      <w:r>
        <w:rPr>
          <w:szCs w:val="18"/>
        </w:rPr>
        <w:t>;</w:t>
      </w:r>
      <w:r w:rsidR="00E44F21">
        <w:rPr>
          <w:szCs w:val="18"/>
        </w:rPr>
        <w:t xml:space="preserve"> og er utgangspunktet for alle innkjøp, se eksterne referanser.</w:t>
      </w:r>
    </w:p>
    <w:p w:rsidR="00CE7405" w:rsidRPr="00955BAD" w:rsidP="00955BAD" w14:paraId="2648007E" w14:textId="724B5C5C">
      <w:pPr>
        <w:spacing w:before="240" w:after="120"/>
        <w:jc w:val="both"/>
        <w:rPr>
          <w:b/>
          <w:bCs/>
          <w:szCs w:val="18"/>
        </w:rPr>
      </w:pPr>
      <w:r w:rsidRPr="00955BAD">
        <w:rPr>
          <w:b/>
          <w:bCs/>
          <w:szCs w:val="18"/>
        </w:rPr>
        <w:t>5.1 Rammeavtaler</w:t>
      </w:r>
    </w:p>
    <w:p w:rsidR="00955BAD" w:rsidP="00955BAD" w14:paraId="24766BE7" w14:textId="7B89539D">
      <w:pPr>
        <w:spacing w:after="120"/>
        <w:jc w:val="both"/>
        <w:rPr>
          <w:szCs w:val="18"/>
        </w:rPr>
      </w:pPr>
      <w:r>
        <w:rPr>
          <w:szCs w:val="18"/>
        </w:rPr>
        <w:t>For oversikt over inngåtte avtaler/rammeavtaler mellom Trøndelag fylkeskommune og leverandører som skal brukes, henvises det til eksterne referanser.</w:t>
      </w:r>
    </w:p>
    <w:p w:rsidR="00F47B50" w:rsidP="00955BAD" w14:paraId="32AEDE33" w14:textId="792195F7">
      <w:pPr>
        <w:spacing w:after="120"/>
        <w:jc w:val="both"/>
        <w:rPr>
          <w:szCs w:val="18"/>
        </w:rPr>
      </w:pPr>
      <w:r>
        <w:rPr>
          <w:szCs w:val="18"/>
        </w:rPr>
        <w:t>Inngåelse av rammeavtaler der Trøndelag fylkeskommune ikke har rammeavtale skal godkjennes av rektor.</w:t>
      </w:r>
    </w:p>
    <w:p w:rsidR="00F47B50" w:rsidP="00F47B50" w14:paraId="451134F1" w14:textId="39B7D5B5">
      <w:pPr>
        <w:spacing w:after="120"/>
        <w:jc w:val="both"/>
        <w:rPr>
          <w:szCs w:val="18"/>
        </w:rPr>
      </w:pPr>
      <w:r>
        <w:br w:type="page"/>
      </w:r>
      <w:r>
        <w:rPr>
          <w:szCs w:val="18"/>
        </w:rPr>
        <w:t xml:space="preserve">Bestilling av varer og tjenester </w:t>
      </w:r>
      <w:r w:rsidR="00E44F21">
        <w:rPr>
          <w:szCs w:val="18"/>
        </w:rPr>
        <w:t xml:space="preserve">skal </w:t>
      </w:r>
      <w:r>
        <w:rPr>
          <w:szCs w:val="18"/>
        </w:rPr>
        <w:t xml:space="preserve">skje skriftlig. </w:t>
      </w:r>
      <w:r>
        <w:rPr>
          <w:szCs w:val="18"/>
        </w:rPr>
        <w:t>Bestilling av tjenester/kurs/undervisning som skal inngå i undervisningsplanen for et emne må skje i god tid før gjennomføring, slik at dette kan innpasses i undervisningspersonalets arbeidsplan, samlingsplaner ved deltidsstudier og i studentenes undervisningsplan.</w:t>
      </w:r>
    </w:p>
    <w:p w:rsidR="00F47B50" w:rsidP="00F47B50" w14:paraId="00A7F0E0" w14:textId="77777777"/>
    <w:p w:rsidR="00D364F6" w:rsidRPr="00955BAD" w:rsidP="00F47B50" w14:paraId="4383BC6D" w14:textId="5A58142E">
      <w:pPr>
        <w:spacing w:after="120"/>
        <w:jc w:val="both"/>
        <w:rPr>
          <w:b/>
          <w:bCs/>
          <w:szCs w:val="18"/>
        </w:rPr>
      </w:pPr>
      <w:r w:rsidRPr="00955BAD">
        <w:rPr>
          <w:b/>
          <w:bCs/>
          <w:szCs w:val="18"/>
        </w:rPr>
        <w:t>5.</w:t>
      </w:r>
      <w:r>
        <w:rPr>
          <w:b/>
          <w:bCs/>
          <w:szCs w:val="18"/>
        </w:rPr>
        <w:t>2</w:t>
      </w:r>
      <w:r w:rsidRPr="00955BAD">
        <w:rPr>
          <w:b/>
          <w:bCs/>
          <w:szCs w:val="18"/>
        </w:rPr>
        <w:t xml:space="preserve"> </w:t>
      </w:r>
      <w:r>
        <w:rPr>
          <w:b/>
          <w:bCs/>
          <w:szCs w:val="18"/>
        </w:rPr>
        <w:t>Godkjenning av leverandører</w:t>
      </w:r>
      <w:r w:rsidR="00FB6C17">
        <w:rPr>
          <w:b/>
          <w:bCs/>
          <w:szCs w:val="18"/>
        </w:rPr>
        <w:t>/underleverandører</w:t>
      </w:r>
    </w:p>
    <w:p w:rsidR="00AF2030" w:rsidP="00D364F6" w14:paraId="1A6E7701" w14:textId="6360B85E">
      <w:pPr>
        <w:spacing w:after="120"/>
        <w:jc w:val="both"/>
        <w:rPr>
          <w:szCs w:val="18"/>
        </w:rPr>
      </w:pPr>
      <w:r>
        <w:rPr>
          <w:szCs w:val="18"/>
        </w:rPr>
        <w:t xml:space="preserve">Nødvendige innkjøp samt inngåelse av avtaler knyttet til eksterne kurs eller innleie av undervisningspersonale, foretas hos leverandører som er godkjente for formålet. Eksempel kan være </w:t>
      </w:r>
      <w:r w:rsidR="003470FB">
        <w:rPr>
          <w:szCs w:val="18"/>
        </w:rPr>
        <w:t>sikkerhets- og beredskapskurs</w:t>
      </w:r>
      <w:r w:rsidR="000D7953">
        <w:rPr>
          <w:szCs w:val="18"/>
        </w:rPr>
        <w:t xml:space="preserve"> levert av godkjent sikkerhetssenter</w:t>
      </w:r>
      <w:r w:rsidR="00C564E1">
        <w:rPr>
          <w:szCs w:val="18"/>
        </w:rPr>
        <w:t>, service på simulatorer</w:t>
      </w:r>
      <w:r>
        <w:rPr>
          <w:szCs w:val="18"/>
        </w:rPr>
        <w:t>.</w:t>
      </w:r>
    </w:p>
    <w:p w:rsidR="007D7CEE" w:rsidP="00D364F6" w14:paraId="071DBD06" w14:textId="6011B343">
      <w:pPr>
        <w:spacing w:after="120"/>
        <w:jc w:val="both"/>
        <w:rPr>
          <w:szCs w:val="18"/>
        </w:rPr>
      </w:pPr>
      <w:r>
        <w:rPr>
          <w:szCs w:val="18"/>
        </w:rPr>
        <w:t>Dersom det finnes konkurrerende leverandører, innhentes det anbud i henhold til retningslinjer for Trøndelag fylkeskommune.</w:t>
      </w:r>
    </w:p>
    <w:p w:rsidR="007D7CEE" w:rsidP="00D364F6" w14:paraId="1564DDE7" w14:textId="26F5F2A6">
      <w:pPr>
        <w:spacing w:after="120"/>
        <w:jc w:val="both"/>
        <w:rPr>
          <w:szCs w:val="18"/>
        </w:rPr>
      </w:pPr>
      <w:r>
        <w:rPr>
          <w:szCs w:val="18"/>
        </w:rPr>
        <w:t>Før avtale inngås, skal det innhentes dokumentasjon på at leverandøren har de nødvendige kvalifikasjoner. Eksempel på dokumentasjon kan være sertifikater, autorisasjoner e.l.</w:t>
      </w:r>
    </w:p>
    <w:p w:rsidR="00C564E1" w:rsidP="00D364F6" w14:paraId="49E6E864" w14:textId="0C2E3D7F">
      <w:pPr>
        <w:spacing w:after="120"/>
        <w:jc w:val="both"/>
        <w:rPr>
          <w:szCs w:val="18"/>
        </w:rPr>
      </w:pPr>
      <w:r>
        <w:rPr>
          <w:szCs w:val="18"/>
        </w:rPr>
        <w:t xml:space="preserve">For kurs som inngår i studentenes studieplaner skal innhold og kvalitet </w:t>
      </w:r>
      <w:r w:rsidR="009005AF">
        <w:rPr>
          <w:szCs w:val="18"/>
        </w:rPr>
        <w:t xml:space="preserve">på kurset </w:t>
      </w:r>
      <w:r>
        <w:rPr>
          <w:szCs w:val="18"/>
        </w:rPr>
        <w:t>kontrolleres. Kursholder skal inneha de nødvendige sertifikater</w:t>
      </w:r>
      <w:r w:rsidR="009005AF">
        <w:rPr>
          <w:szCs w:val="18"/>
        </w:rPr>
        <w:t xml:space="preserve"> </w:t>
      </w:r>
      <w:r>
        <w:rPr>
          <w:szCs w:val="18"/>
        </w:rPr>
        <w:t>der dette er påkrevet, eksempelvis sikkerhetskurs for maritime utdanninger, eller kurs i sveiseteknikk.</w:t>
      </w:r>
    </w:p>
    <w:p w:rsidR="00C564E1" w:rsidP="00D364F6" w14:paraId="040DCBAC" w14:textId="3077C606">
      <w:pPr>
        <w:spacing w:after="120"/>
        <w:jc w:val="both"/>
        <w:rPr>
          <w:szCs w:val="18"/>
        </w:rPr>
      </w:pPr>
      <w:r>
        <w:rPr>
          <w:szCs w:val="18"/>
        </w:rPr>
        <w:t xml:space="preserve">Sensorer ved gjennomføring av eksamen skal ha de nødvendige kvalifikasjoner i form av sertifikater </w:t>
      </w:r>
      <w:r w:rsidR="009005AF">
        <w:rPr>
          <w:szCs w:val="18"/>
        </w:rPr>
        <w:t xml:space="preserve">som er tilpasset nivå på utdanning </w:t>
      </w:r>
      <w:r>
        <w:rPr>
          <w:szCs w:val="18"/>
        </w:rPr>
        <w:t>der dette er påkrevet, f.eks. i tilknytning til maritime utdanninger, utdanning i sveiseteknikk, m.fl.</w:t>
      </w:r>
    </w:p>
    <w:p w:rsidR="007D7CEE" w:rsidRPr="00955BAD" w:rsidP="007D7CEE" w14:paraId="2CEFBCD1" w14:textId="260DB689">
      <w:pPr>
        <w:spacing w:before="240" w:after="120"/>
        <w:jc w:val="both"/>
        <w:rPr>
          <w:b/>
          <w:bCs/>
          <w:szCs w:val="18"/>
        </w:rPr>
      </w:pPr>
      <w:r w:rsidRPr="00955BAD">
        <w:rPr>
          <w:b/>
          <w:bCs/>
          <w:szCs w:val="18"/>
        </w:rPr>
        <w:t>5.</w:t>
      </w:r>
      <w:r>
        <w:rPr>
          <w:b/>
          <w:bCs/>
          <w:szCs w:val="18"/>
        </w:rPr>
        <w:t>3</w:t>
      </w:r>
      <w:r w:rsidRPr="00955BAD">
        <w:rPr>
          <w:b/>
          <w:bCs/>
          <w:szCs w:val="18"/>
        </w:rPr>
        <w:t xml:space="preserve"> </w:t>
      </w:r>
      <w:r>
        <w:rPr>
          <w:b/>
          <w:bCs/>
          <w:szCs w:val="18"/>
        </w:rPr>
        <w:t>Kontroll av gjennomførte kurs eller undervisning</w:t>
      </w:r>
    </w:p>
    <w:p w:rsidR="007D7CEE" w:rsidP="007D7CEE" w14:paraId="01080D38" w14:textId="3ACF16C2">
      <w:pPr>
        <w:spacing w:after="120"/>
        <w:jc w:val="both"/>
        <w:rPr>
          <w:szCs w:val="18"/>
        </w:rPr>
      </w:pPr>
      <w:r>
        <w:rPr>
          <w:szCs w:val="18"/>
        </w:rPr>
        <w:t>I forbindelse med kurs som levert av eksempel sikkerhetssenter for studenter ved THYF, skal det gjennomføres en evaluering etter gjennomføring av kurset. Utdanningsleder skal sørge for at leverandør oversender studentens evalueringer av kurset til THYF.</w:t>
      </w:r>
    </w:p>
    <w:p w:rsidR="00970F1B" w:rsidP="007D7CEE" w14:paraId="74FE0D35" w14:textId="589C2C47">
      <w:pPr>
        <w:spacing w:after="120"/>
        <w:jc w:val="both"/>
        <w:rPr>
          <w:szCs w:val="18"/>
        </w:rPr>
      </w:pPr>
      <w:r>
        <w:rPr>
          <w:szCs w:val="18"/>
        </w:rPr>
        <w:t xml:space="preserve">Innkjøpsansvarlig for kurs som inngår i studentenes studieplaner skal påse at nødvendige kursbevis er på plass før det kan skrives vitnemål til student. </w:t>
      </w:r>
    </w:p>
    <w:p w:rsidR="00E44F21" w:rsidRPr="00955BAD" w:rsidP="00E44F21" w14:paraId="32FCDEA7" w14:textId="2CAAEAA6">
      <w:pPr>
        <w:spacing w:before="240" w:after="120"/>
        <w:jc w:val="both"/>
        <w:rPr>
          <w:b/>
          <w:bCs/>
          <w:szCs w:val="18"/>
        </w:rPr>
      </w:pPr>
      <w:r w:rsidRPr="00955BAD">
        <w:rPr>
          <w:b/>
          <w:bCs/>
          <w:szCs w:val="18"/>
        </w:rPr>
        <w:t>5.</w:t>
      </w:r>
      <w:r>
        <w:rPr>
          <w:b/>
          <w:bCs/>
          <w:szCs w:val="18"/>
        </w:rPr>
        <w:t>4</w:t>
      </w:r>
      <w:r w:rsidRPr="00955BAD">
        <w:rPr>
          <w:b/>
          <w:bCs/>
          <w:szCs w:val="18"/>
        </w:rPr>
        <w:t xml:space="preserve"> </w:t>
      </w:r>
      <w:r>
        <w:rPr>
          <w:b/>
          <w:bCs/>
          <w:szCs w:val="18"/>
        </w:rPr>
        <w:t>Reklamasjon</w:t>
      </w:r>
      <w:r w:rsidR="00C564E1">
        <w:rPr>
          <w:b/>
          <w:bCs/>
          <w:szCs w:val="18"/>
        </w:rPr>
        <w:t>er</w:t>
      </w:r>
    </w:p>
    <w:p w:rsidR="00E44F21" w:rsidP="00E44F21" w14:paraId="029FA0B9" w14:textId="5D804569">
      <w:pPr>
        <w:spacing w:after="120"/>
        <w:jc w:val="both"/>
        <w:rPr>
          <w:szCs w:val="18"/>
        </w:rPr>
      </w:pPr>
      <w:r>
        <w:rPr>
          <w:szCs w:val="18"/>
        </w:rPr>
        <w:t xml:space="preserve">Den som gjennomfører innkjøp av varer og tjenester sørger for reklamasjoner </w:t>
      </w:r>
      <w:r w:rsidR="00C564E1">
        <w:rPr>
          <w:szCs w:val="18"/>
        </w:rPr>
        <w:t xml:space="preserve">på vare eller tjeneste hvis det oppstår et </w:t>
      </w:r>
      <w:r>
        <w:rPr>
          <w:szCs w:val="18"/>
        </w:rPr>
        <w:t xml:space="preserve">behov og </w:t>
      </w:r>
      <w:r w:rsidR="00C564E1">
        <w:rPr>
          <w:szCs w:val="18"/>
        </w:rPr>
        <w:t xml:space="preserve">er ansvarlig for å </w:t>
      </w:r>
      <w:r>
        <w:rPr>
          <w:szCs w:val="18"/>
        </w:rPr>
        <w:t>følge opp videre saksbehandling.</w:t>
      </w:r>
    </w:p>
    <w:p w:rsidR="00E44F21" w:rsidP="00E44F21" w14:paraId="5CDC2B38" w14:textId="792F9B3D">
      <w:pPr>
        <w:spacing w:after="120"/>
        <w:jc w:val="both"/>
        <w:rPr>
          <w:szCs w:val="18"/>
        </w:rPr>
      </w:pPr>
      <w:r>
        <w:rPr>
          <w:szCs w:val="18"/>
        </w:rPr>
        <w:t>Avvik knyttet til oppfølging av denne prosedyren, mangler ved leveranse av vare eller tjeneste, misnøye med oppfølging av leverandør e.l. meldes inn via THYFs meldesystem.</w:t>
      </w:r>
    </w:p>
    <w:p w:rsidR="009005AF" w:rsidRPr="00955BAD" w:rsidP="009005AF" w14:paraId="7E197CBD" w14:textId="6F822FAF">
      <w:pPr>
        <w:spacing w:before="240" w:after="120"/>
        <w:jc w:val="both"/>
        <w:rPr>
          <w:b/>
          <w:bCs/>
          <w:szCs w:val="18"/>
        </w:rPr>
      </w:pPr>
      <w:r w:rsidRPr="00955BAD">
        <w:rPr>
          <w:b/>
          <w:bCs/>
          <w:szCs w:val="18"/>
        </w:rPr>
        <w:t>5.</w:t>
      </w:r>
      <w:r>
        <w:rPr>
          <w:b/>
          <w:bCs/>
          <w:szCs w:val="18"/>
        </w:rPr>
        <w:t>5</w:t>
      </w:r>
      <w:r w:rsidRPr="00955BAD">
        <w:rPr>
          <w:b/>
          <w:bCs/>
          <w:szCs w:val="18"/>
        </w:rPr>
        <w:t xml:space="preserve"> </w:t>
      </w:r>
      <w:r>
        <w:rPr>
          <w:b/>
          <w:bCs/>
          <w:szCs w:val="18"/>
        </w:rPr>
        <w:t>Kurs for ansatte</w:t>
      </w:r>
    </w:p>
    <w:p w:rsidR="009005AF" w:rsidP="009005AF" w14:paraId="2A133D8C" w14:textId="71F43C4A">
      <w:pPr>
        <w:spacing w:after="120"/>
        <w:jc w:val="both"/>
        <w:rPr>
          <w:szCs w:val="18"/>
        </w:rPr>
      </w:pPr>
      <w:r>
        <w:rPr>
          <w:szCs w:val="18"/>
        </w:rPr>
        <w:t xml:space="preserve">For personalkurs hvor det er aktuelt å dokumentere økt kompetanse skal det sørges for kursbevis. Den enkelte er ansvarlig for registrering av egen kompetanse i </w:t>
      </w:r>
      <w:r w:rsidR="00696B86">
        <w:rPr>
          <w:szCs w:val="18"/>
        </w:rPr>
        <w:t>Dossier.</w:t>
      </w:r>
    </w:p>
    <w:p w:rsidR="00E44F21" w:rsidRPr="00CF0617" w:rsidP="00E44F21" w14:paraId="29B9938D" w14:textId="40E59DB1">
      <w:pPr>
        <w:spacing w:after="120"/>
        <w:jc w:val="both"/>
        <w:rPr>
          <w:szCs w:val="18"/>
        </w:rPr>
      </w:pPr>
      <w:r>
        <w:rPr>
          <w:szCs w:val="18"/>
        </w:rPr>
        <w:t xml:space="preserve"> </w:t>
      </w:r>
    </w:p>
    <w:p w:rsidR="001C0FFA" w:rsidRPr="00CF0617" w:rsidP="00955BAD" w14:paraId="02699B6D" w14:textId="77777777">
      <w:pPr>
        <w:spacing w:before="360"/>
        <w:rPr>
          <w:b/>
          <w:bCs/>
          <w:color w:val="808080"/>
          <w:szCs w:val="18"/>
        </w:rPr>
      </w:pPr>
      <w:r w:rsidRPr="00CF0617">
        <w:rPr>
          <w:b/>
          <w:bCs/>
          <w:szCs w:val="18"/>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671862">
            <w:pPr>
              <w:numPr>
                <w:ilvl w:val="0"/>
                <w:numId w:val="0"/>
              </w:numPr>
              <w:rPr>
                <w:b w:val="0"/>
                <w:color w:val="0000FF"/>
                <w:u w:val="single"/>
              </w:rPr>
            </w:pPr>
            <w:bookmarkStart w:id="1" w:name="EK_Referanse"/>
            <w:hyperlink r:id="rId5" w:history="1">
              <w:r>
                <w:rPr>
                  <w:b w:val="0"/>
                  <w:color w:val="0000FF"/>
                  <w:u w:val="single"/>
                </w:rPr>
                <w:t>1.4.4</w:t>
              </w:r>
            </w:hyperlink>
          </w:p>
        </w:tc>
        <w:tc>
          <w:tcPr>
            <w:tcW w:w="3750" w:type="pct"/>
            <w:tcBorders>
              <w:top w:val="nil"/>
              <w:left w:val="nil"/>
              <w:bottom w:val="nil"/>
              <w:right w:val="nil"/>
            </w:tcBorders>
          </w:tcPr>
          <w:p w:rsidP="00671862">
            <w:pPr>
              <w:numPr>
                <w:ilvl w:val="0"/>
                <w:numId w:val="0"/>
              </w:numPr>
              <w:rPr>
                <w:b w:val="0"/>
                <w:color w:val="0000FF"/>
                <w:u w:val="single"/>
              </w:rPr>
            </w:pPr>
            <w:hyperlink r:id="rId5" w:history="1">
              <w:r>
                <w:rPr>
                  <w:b w:val="0"/>
                  <w:color w:val="0000FF"/>
                  <w:u w:val="single"/>
                </w:rPr>
                <w:t>KJØP AV VARER OG TJENESTER</w:t>
              </w:r>
            </w:hyperlink>
          </w:p>
        </w:tc>
      </w:tr>
    </w:tbl>
    <w:p w:rsidR="00671862" w:rsidP="00671862" w14:paraId="3F009015" w14:textId="77777777">
      <w:pPr>
        <w:rPr>
          <w:b/>
          <w:bCs/>
          <w:szCs w:val="18"/>
        </w:rPr>
      </w:pPr>
      <w:bookmarkEnd w:id="1"/>
    </w:p>
    <w:p w:rsidR="001C0FFA" w:rsidRPr="00CF0617" w:rsidP="00671862" w14:paraId="02699B72" w14:textId="3BEAEFDC">
      <w:pPr>
        <w:rPr>
          <w:b/>
          <w:bCs/>
          <w:szCs w:val="18"/>
        </w:rPr>
      </w:pPr>
      <w:r w:rsidRPr="00CF0617">
        <w:rPr>
          <w:b/>
          <w:bCs/>
          <w:szCs w:val="18"/>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bookmarkStart w:id="2" w:name="EK_EksRef"/>
            <w:hyperlink r:id="rId6" w:history="1">
              <w:r>
                <w:rPr>
                  <w:b w:val="0"/>
                  <w:color w:val="0000FF"/>
                  <w:u w:val="single"/>
                </w:rPr>
                <w:t>.20.1 Innkjøpsreglement for Trøndelag fylkeskommune.</w:t>
              </w:r>
            </w:hyperlink>
          </w:p>
        </w:tc>
      </w:tr>
      <w:tr>
        <w:tblPrEx>
          <w:tblW w:w="5000" w:type="pct"/>
          <w:tblCellMar>
            <w:left w:w="108" w:type="dxa"/>
            <w:right w:w="108" w:type="dxa"/>
          </w:tblCellMar>
        </w:tblPrEx>
        <w:tc>
          <w:tcPr>
            <w:tcW w:w="3750" w:type="pct"/>
            <w:tcBorders>
              <w:top w:val="nil"/>
              <w:left w:val="nil"/>
              <w:bottom w:val="nil"/>
              <w:right w:val="nil"/>
            </w:tcBorders>
          </w:tcPr>
          <w:p w:rsidP="00671862">
            <w:pPr>
              <w:numPr>
                <w:ilvl w:val="0"/>
                <w:numId w:val="0"/>
              </w:numPr>
              <w:rPr>
                <w:b w:val="0"/>
                <w:color w:val="0000FF"/>
                <w:u w:val="single"/>
              </w:rPr>
            </w:pPr>
            <w:hyperlink r:id="rId7" w:history="1">
              <w:r>
                <w:rPr>
                  <w:b w:val="0"/>
                  <w:color w:val="0000FF"/>
                  <w:u w:val="single"/>
                </w:rPr>
                <w:t>.20.3 Inngått kjøpsavtaler i Trøndelag fylkeskommune</w:t>
              </w:r>
            </w:hyperlink>
          </w:p>
        </w:tc>
      </w:tr>
    </w:tbl>
    <w:p w:rsidR="001C0FFA" w:rsidRPr="00CF0617" w:rsidP="00671862" w14:paraId="02699B76" w14:textId="77777777">
      <w:pPr>
        <w:rPr>
          <w:szCs w:val="18"/>
        </w:rPr>
      </w:pPr>
      <w:bookmarkEnd w:id="2"/>
    </w:p>
    <w:p w:rsidR="001C0FFA" w:rsidRPr="00CF0617" w14:paraId="02699B77" w14:textId="77777777">
      <w:pPr>
        <w:rPr>
          <w:szCs w:val="18"/>
        </w:rPr>
      </w:pPr>
    </w:p>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swald">
    <w:altName w:val="Oswald"/>
    <w:panose1 w:val="00000500000000000000"/>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FFA" w14:paraId="02699B83" w14:textId="7BB45AAA">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24.06.2024</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10"/>
      <w:gridCol w:w="1968"/>
    </w:tblGrid>
    <w:tr w14:paraId="02699B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02699B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Prosedyre for evaluering og godkjenning av underleverandører</w:t>
          </w:r>
          <w:r>
            <w:rPr>
              <w:b/>
              <w:color w:val="000080"/>
            </w:rPr>
            <w:fldChar w:fldCharType="end"/>
          </w:r>
        </w:p>
      </w:tc>
      <w:tc>
        <w:tcPr>
          <w:tcW w:w="1968" w:type="dxa"/>
          <w:tcBorders>
            <w:bottom w:val="nil"/>
          </w:tcBorders>
        </w:tcPr>
        <w:p w:rsidR="001C0FFA" w14:paraId="02699B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1.4.2</w:t>
          </w:r>
          <w:r>
            <w:rPr>
              <w:sz w:val="20"/>
            </w:rPr>
            <w:fldChar w:fldCharType="end"/>
          </w:r>
        </w:p>
      </w:tc>
    </w:tr>
    <w:tr w14:paraId="02699B7E" w14:textId="77777777">
      <w:tblPrEx>
        <w:tblW w:w="0" w:type="auto"/>
        <w:tblInd w:w="70" w:type="dxa"/>
        <w:tblLayout w:type="fixed"/>
        <w:tblCellMar>
          <w:left w:w="70" w:type="dxa"/>
          <w:right w:w="70" w:type="dxa"/>
        </w:tblCellMar>
        <w:tblLook w:val="0000"/>
      </w:tblPrEx>
      <w:tc>
        <w:tcPr>
          <w:tcW w:w="7110" w:type="dxa"/>
          <w:tcBorders>
            <w:left w:val="nil"/>
            <w:bottom w:val="nil"/>
            <w:right w:val="nil"/>
          </w:tcBorders>
        </w:tcPr>
        <w:p w:rsidR="001C0FFA" w14:paraId="02699B7C" w14:textId="77777777">
          <w:pPr>
            <w:spacing w:before="80"/>
            <w:rPr>
              <w:sz w:val="20"/>
            </w:rPr>
          </w:pPr>
        </w:p>
      </w:tc>
      <w:tc>
        <w:tcPr>
          <w:tcW w:w="1962" w:type="dxa"/>
          <w:tcBorders>
            <w:left w:val="nil"/>
            <w:bottom w:val="nil"/>
            <w:right w:val="nil"/>
          </w:tcBorders>
        </w:tcPr>
        <w:p w:rsidR="001C0FFA" w14:paraId="02699B7D"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rFonts w:ascii="Verdana" w:hAnsi="Verdana"/>
              <w:sz w:val="20"/>
              <w:lang w:val="nb-NO" w:eastAsia="nb-NO" w:bidi="ar-SA"/>
            </w:rPr>
            <w:t>2</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2</w:t>
          </w:r>
          <w:r>
            <w:rPr>
              <w:sz w:val="20"/>
            </w:rPr>
            <w:fldChar w:fldCharType="end"/>
          </w:r>
        </w:p>
      </w:tc>
    </w:tr>
  </w:tbl>
  <w:p w:rsidR="001C0FFA" w14:paraId="02699B7F"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02699B8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400F7"/>
    <w:rsid w:val="00064B5B"/>
    <w:rsid w:val="000926B8"/>
    <w:rsid w:val="000D7953"/>
    <w:rsid w:val="000F3BF2"/>
    <w:rsid w:val="00110E6A"/>
    <w:rsid w:val="00150210"/>
    <w:rsid w:val="001A500E"/>
    <w:rsid w:val="001B3B37"/>
    <w:rsid w:val="001C0FFA"/>
    <w:rsid w:val="00202A4B"/>
    <w:rsid w:val="00280477"/>
    <w:rsid w:val="00285DB6"/>
    <w:rsid w:val="0028608F"/>
    <w:rsid w:val="002D4307"/>
    <w:rsid w:val="00312360"/>
    <w:rsid w:val="003470FB"/>
    <w:rsid w:val="003D4093"/>
    <w:rsid w:val="00415440"/>
    <w:rsid w:val="004351B5"/>
    <w:rsid w:val="00473133"/>
    <w:rsid w:val="004F400D"/>
    <w:rsid w:val="005037FB"/>
    <w:rsid w:val="005660A1"/>
    <w:rsid w:val="00575FA5"/>
    <w:rsid w:val="00593ADB"/>
    <w:rsid w:val="005B0C5D"/>
    <w:rsid w:val="005F7187"/>
    <w:rsid w:val="006316A1"/>
    <w:rsid w:val="00671862"/>
    <w:rsid w:val="00696B86"/>
    <w:rsid w:val="0075102E"/>
    <w:rsid w:val="00784455"/>
    <w:rsid w:val="007D7CEE"/>
    <w:rsid w:val="00867E08"/>
    <w:rsid w:val="009005AF"/>
    <w:rsid w:val="00955BAD"/>
    <w:rsid w:val="0095797D"/>
    <w:rsid w:val="00970F1B"/>
    <w:rsid w:val="009F0351"/>
    <w:rsid w:val="00AA2837"/>
    <w:rsid w:val="00AF2030"/>
    <w:rsid w:val="00B25E00"/>
    <w:rsid w:val="00B36EC2"/>
    <w:rsid w:val="00B3769A"/>
    <w:rsid w:val="00B84574"/>
    <w:rsid w:val="00B84FF4"/>
    <w:rsid w:val="00B926C6"/>
    <w:rsid w:val="00BC2321"/>
    <w:rsid w:val="00BF75FB"/>
    <w:rsid w:val="00C17A6C"/>
    <w:rsid w:val="00C27D2F"/>
    <w:rsid w:val="00C308C0"/>
    <w:rsid w:val="00C35CDF"/>
    <w:rsid w:val="00C564E1"/>
    <w:rsid w:val="00CD5A4D"/>
    <w:rsid w:val="00CE7405"/>
    <w:rsid w:val="00CF0617"/>
    <w:rsid w:val="00D24256"/>
    <w:rsid w:val="00D364F6"/>
    <w:rsid w:val="00D72127"/>
    <w:rsid w:val="00E34F49"/>
    <w:rsid w:val="00E44F21"/>
    <w:rsid w:val="00E46880"/>
    <w:rsid w:val="00E53D35"/>
    <w:rsid w:val="00EB2826"/>
    <w:rsid w:val="00F11839"/>
    <w:rsid w:val="00F45154"/>
    <w:rsid w:val="00F47B50"/>
    <w:rsid w:val="00F804C4"/>
    <w:rsid w:val="00FB6C17"/>
    <w:rsid w:val="00FC2E22"/>
    <w:rsid w:val="00FF36A1"/>
    <w:rsid w:val="00FF57CE"/>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nei"/>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2699B57"/>
  <w15:docId w15:val="{9FBB40AC-0603-4F54-B465-40540C7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005AF"/>
    <w:rPr>
      <w:rFonts w:ascii="Verdana" w:hAnsi="Verdana"/>
      <w:sz w:val="18"/>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AA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thyf-ekstern.dkhosting.no/docs/pub/DOK00141.pdf" TargetMode="External" /><Relationship Id="rId6" Type="http://schemas.openxmlformats.org/officeDocument/2006/relationships/hyperlink" Target="https://tronder.sharepoint.com/:w:/r/sites/intranett/ansatt/_layouts/15/Doc.aspx?sourcedoc=%7B172EC54B-7D4C-469A-BCAA-CB87B7F0300E%7D&amp;file=201203_Innkj%C3%B8psreglement.docx&amp;action=default&amp;mobileredirect=true&amp;DefaultItemOpen=1&amp;cid=c45534a9-08c9-419c-8d85-aa1f3f7d3d72" TargetMode="External" /><Relationship Id="rId7" Type="http://schemas.openxmlformats.org/officeDocument/2006/relationships/hyperlink" Target="https://my.mercell.com/nb-no/anbud/75896736/troendelag-fylkeskommune-anbud.aspx?tab=tabAgreements"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NMI\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333</TotalTime>
  <Pages>2</Pages>
  <Words>874</Words>
  <Characters>4636</Characters>
  <Application>Microsoft Office Word</Application>
  <DocSecurity>0</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Prosedyre for evaluering og godkjenning av underleverandører</vt:lpstr>
      <vt:lpstr>	</vt:lpstr>
    </vt:vector>
  </TitlesOfParts>
  <Company>Datakvalitet</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Prosedyre for evaluering og godkjenning av underleverandører</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19</cp:revision>
  <cp:lastPrinted>2023-09-23T09:19:00Z</cp:lastPrinted>
  <dcterms:created xsi:type="dcterms:W3CDTF">2020-01-20T07:07:00Z</dcterms:created>
  <dcterms:modified xsi:type="dcterms:W3CDTF">2023-11-24T14:52:00Z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Prosedyre for evaluering og godkjenning av underleverandører</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15.11.2023</vt:lpwstr>
  </property>
  <property fmtid="{D5CDD505-2E9C-101B-9397-08002B2CF9AE}" pid="7" name="EK_RefNr">
    <vt:lpwstr>1.4.2</vt:lpwstr>
  </property>
  <property fmtid="{D5CDD505-2E9C-101B-9397-08002B2CF9AE}" pid="8" name="EK_Signatur">
    <vt:lpwstr>Svein Ove Dyrdal</vt:lpwstr>
  </property>
  <property fmtid="{D5CDD505-2E9C-101B-9397-08002B2CF9AE}" pid="9" name="EK_SkrevetAv">
    <vt:lpwstr>Hans Tore Mikkelsen</vt:lpwstr>
  </property>
  <property fmtid="{D5CDD505-2E9C-101B-9397-08002B2CF9AE}" pid="10" name="EK_Utgave">
    <vt:lpwstr>1.02</vt:lpwstr>
  </property>
  <property fmtid="{D5CDD505-2E9C-101B-9397-08002B2CF9AE}" pid="11" name="EK_Watermark">
    <vt:lpwstr>Vannmerke</vt:lpwstr>
  </property>
  <property fmtid="{D5CDD505-2E9C-101B-9397-08002B2CF9AE}" pid="12" name="XD00141">
    <vt:lpwstr>1.4.4</vt:lpwstr>
  </property>
  <property fmtid="{D5CDD505-2E9C-101B-9397-08002B2CF9AE}" pid="13" name="XDF00141">
    <vt:lpwstr>KJØP AV VARER OG TJENESTER</vt:lpwstr>
  </property>
  <property fmtid="{D5CDD505-2E9C-101B-9397-08002B2CF9AE}" pid="14" name="XDL00141">
    <vt:lpwstr>1.4.4 KJØP AV VARER OG TJENESTER</vt:lpwstr>
  </property>
  <property fmtid="{D5CDD505-2E9C-101B-9397-08002B2CF9AE}" pid="15" name="XDT00141">
    <vt:lpwstr>KJØP AV VARER OG TJENESTER</vt:lpwstr>
  </property>
  <property fmtid="{D5CDD505-2E9C-101B-9397-08002B2CF9AE}" pid="16" name="XR00138">
    <vt:lpwstr>.20.1</vt:lpwstr>
  </property>
  <property fmtid="{D5CDD505-2E9C-101B-9397-08002B2CF9AE}" pid="17" name="XR00141">
    <vt:lpwstr>.20.3</vt:lpwstr>
  </property>
  <property fmtid="{D5CDD505-2E9C-101B-9397-08002B2CF9AE}" pid="18" name="XRF00138">
    <vt:lpwstr>Innkjøpsreglement for Trøndelag fylkeskommune.</vt:lpwstr>
  </property>
  <property fmtid="{D5CDD505-2E9C-101B-9397-08002B2CF9AE}" pid="19" name="XRF00141">
    <vt:lpwstr>Inngått kjøpsavtaler i Trøndelag fylkeskommune</vt:lpwstr>
  </property>
  <property fmtid="{D5CDD505-2E9C-101B-9397-08002B2CF9AE}" pid="20" name="XRL00138">
    <vt:lpwstr>.20.1 Innkjøpsreglement for Trøndelag fylkeskommune.</vt:lpwstr>
  </property>
  <property fmtid="{D5CDD505-2E9C-101B-9397-08002B2CF9AE}" pid="21" name="XRL00141">
    <vt:lpwstr>.20.3 Inngått kjøpsavtaler i Trøndelag fylkeskommune</vt:lpwstr>
  </property>
  <property fmtid="{D5CDD505-2E9C-101B-9397-08002B2CF9AE}" pid="22" name="XRT00138">
    <vt:lpwstr>Innkjøpsreglement for Trøndelag fylkeskommune.</vt:lpwstr>
  </property>
  <property fmtid="{D5CDD505-2E9C-101B-9397-08002B2CF9AE}" pid="23" name="XRT00141">
    <vt:lpwstr>Inngått kjøpsavtaler i Trøndelag fylkeskommune</vt:lpwstr>
  </property>
</Properties>
</file>