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7C20B2D1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5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1.3.2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Melde forbedringsforslag, avvik, observasjoner og andre uønskede hendelser.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7.00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03.06.2024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4E3B5C52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5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C21994" w14:paraId="02699B68" w14:textId="0D4F910D">
      <w:pPr>
        <w:spacing w:before="36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  <w:r>
        <w:rPr>
          <w:b/>
          <w:bCs/>
          <w:sz w:val="22"/>
          <w:szCs w:val="24"/>
        </w:rPr>
        <w:t xml:space="preserve"> og o</w:t>
      </w:r>
      <w:r w:rsidRPr="006316A1">
        <w:rPr>
          <w:b/>
          <w:bCs/>
          <w:sz w:val="22"/>
          <w:szCs w:val="24"/>
        </w:rPr>
        <w:t>mfang</w:t>
      </w:r>
    </w:p>
    <w:p w:rsidR="000B0FAC" w:rsidP="004C2CF1" w14:paraId="7119AF19" w14:textId="1A406703">
      <w:pPr>
        <w:spacing w:before="120" w:after="120"/>
        <w:jc w:val="both"/>
      </w:pPr>
      <w:r>
        <w:t xml:space="preserve">Prosedyren </w:t>
      </w:r>
      <w:r w:rsidR="00D113EA">
        <w:t>beskriver</w:t>
      </w:r>
      <w:r w:rsidR="00656FE5">
        <w:t xml:space="preserve"> tilgjengelige </w:t>
      </w:r>
      <w:r w:rsidRPr="00D113EA" w:rsidR="00D113EA">
        <w:t xml:space="preserve">meldesystemer </w:t>
      </w:r>
      <w:r w:rsidR="00D113EA">
        <w:t xml:space="preserve">for innmelding av forbedringsforslag, avvik, observasjoner og </w:t>
      </w:r>
      <w:r>
        <w:t>nesten</w:t>
      </w:r>
      <w:r w:rsidR="00D113EA">
        <w:t>hendelser</w:t>
      </w:r>
      <w:r>
        <w:t>/nestenulykker</w:t>
      </w:r>
      <w:r w:rsidR="00D113EA">
        <w:t xml:space="preserve"> knyttet til kvalitet og HMS. </w:t>
      </w:r>
      <w:r w:rsidR="00656FE5">
        <w:t xml:space="preserve">Den skal </w:t>
      </w:r>
      <w:r>
        <w:t>sikre at forslag til forbedringer</w:t>
      </w:r>
      <w:r w:rsidR="006E1ACD">
        <w:t>, avvik</w:t>
      </w:r>
      <w:r w:rsidR="00BB1DCB">
        <w:t xml:space="preserve">, </w:t>
      </w:r>
      <w:r>
        <w:t xml:space="preserve">observasjoner </w:t>
      </w:r>
      <w:r w:rsidR="004C2CF1">
        <w:t xml:space="preserve">og </w:t>
      </w:r>
      <w:r w:rsidR="006E1ACD">
        <w:t xml:space="preserve">andre </w:t>
      </w:r>
      <w:r>
        <w:t>hendelser blir meldt inn, registrert og behandlet</w:t>
      </w:r>
      <w:r w:rsidR="00BB1DCB">
        <w:t xml:space="preserve"> ved THYF</w:t>
      </w:r>
      <w:r>
        <w:t>. Klager og kritikkverdige forhold beskrives i separate prosedyrer.</w:t>
      </w:r>
    </w:p>
    <w:p w:rsidR="006E1ACD" w:rsidP="004C2CF1" w14:paraId="0F181653" w14:textId="1868D9F0">
      <w:pPr>
        <w:spacing w:before="120" w:after="120"/>
        <w:jc w:val="both"/>
      </w:pPr>
      <w:r>
        <w:t xml:space="preserve">Innmelding og behandling av forbedringsforslag, avvik m.fl. kan dermed bidra til at feil vi gjør i det daglige blir rettet på, og til at </w:t>
      </w:r>
      <w:r w:rsidR="00BB1DCB">
        <w:t xml:space="preserve">de samme feilene </w:t>
      </w:r>
      <w:r>
        <w:t>ikke gjentas</w:t>
      </w:r>
      <w:r w:rsidR="00BB1DCB">
        <w:t xml:space="preserve"> på nytt</w:t>
      </w:r>
      <w:r>
        <w:t>; og gjennom dette bidra til å gjøre THYFs bedre.</w:t>
      </w:r>
    </w:p>
    <w:p w:rsidR="006E1ACD" w:rsidRPr="00650174" w:rsidP="004C2CF1" w14:paraId="3A936537" w14:textId="7137B7E7">
      <w:pPr>
        <w:spacing w:before="120" w:after="120"/>
        <w:jc w:val="both"/>
        <w:rPr>
          <w:i/>
          <w:iCs/>
        </w:rPr>
      </w:pPr>
      <w:r w:rsidRPr="00650174">
        <w:rPr>
          <w:b/>
          <w:bCs/>
          <w:i/>
          <w:iCs/>
        </w:rPr>
        <w:t>OBS!</w:t>
      </w:r>
      <w:r w:rsidRPr="00650174">
        <w:rPr>
          <w:i/>
          <w:iCs/>
        </w:rPr>
        <w:t xml:space="preserve"> Prosedyren er felles for hele THYF og omfatter alle utdanninger og all virksomhet ved THYF. Dette inkluderer også sertifiserte maritime utdanninger og utdanningen i sveiseteknikk.</w:t>
      </w:r>
    </w:p>
    <w:p w:rsidR="006316A1" w:rsidRPr="006316A1" w:rsidP="006316A1" w14:paraId="555CDC90" w14:textId="407C58B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>
        <w:rPr>
          <w:b/>
          <w:bCs/>
          <w:sz w:val="22"/>
          <w:szCs w:val="24"/>
        </w:rPr>
        <w:t>Målgruppe</w:t>
      </w:r>
    </w:p>
    <w:p w:rsidR="00650174" w:rsidP="00BB1DCB" w14:paraId="01B53418" w14:textId="67EC1C48">
      <w:pPr>
        <w:spacing w:before="120" w:after="120"/>
        <w:jc w:val="both"/>
      </w:pPr>
      <w:r>
        <w:t>Alle ansatte og studenter ved Trøndelag høyere yrkesfagskole (THYF)</w:t>
      </w:r>
      <w:r w:rsidR="00D113EA">
        <w:t xml:space="preserve"> samt eksterne.</w:t>
      </w:r>
    </w:p>
    <w:p w:rsidR="00D113EA" w:rsidP="00BB1DCB" w14:paraId="1D13A6EE" w14:textId="61AD3099">
      <w:pPr>
        <w:spacing w:before="120" w:after="120"/>
        <w:jc w:val="both"/>
      </w:pPr>
      <w:r>
        <w:t>Ansatte kan melder inn sak via kvalitetsportal. Studenter, i</w:t>
      </w:r>
      <w:r w:rsidR="00A842B2">
        <w:t xml:space="preserve">nnleid personell og eksternt ansatt personell kan </w:t>
      </w:r>
      <w:r>
        <w:t xml:space="preserve">melde inn hendelser via eksternweb-løsning. </w:t>
      </w:r>
    </w:p>
    <w:p w:rsidR="006316A1" w:rsidRPr="006316A1" w:rsidP="006316A1" w14:paraId="00D3BFB7" w14:textId="2AAB96C9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3. </w:t>
      </w:r>
      <w:r>
        <w:rPr>
          <w:b/>
          <w:bCs/>
          <w:sz w:val="22"/>
          <w:szCs w:val="24"/>
        </w:rPr>
        <w:t xml:space="preserve">Forklaring av ord og </w:t>
      </w:r>
      <w:r>
        <w:rPr>
          <w:b/>
          <w:bCs/>
          <w:sz w:val="22"/>
          <w:szCs w:val="24"/>
        </w:rPr>
        <w:t>utrykk</w:t>
      </w:r>
    </w:p>
    <w:p w:rsidR="00650174" w:rsidP="00C045D1" w14:paraId="4472011A" w14:textId="4AC37B0B">
      <w:pPr>
        <w:spacing w:before="120" w:after="240"/>
        <w:jc w:val="both"/>
      </w:pPr>
      <w:r>
        <w:t>Hva er forbedringsforslag, en uønsket hendelse, et avvik, en klage eller ett varsel? Her følger noen eksempler på slike saker.</w:t>
      </w:r>
    </w:p>
    <w:p w:rsidR="00650174" w:rsidP="00A33AD7" w14:paraId="6281234C" w14:textId="49729F69">
      <w:pPr>
        <w:numPr>
          <w:ilvl w:val="0"/>
          <w:numId w:val="10"/>
        </w:numPr>
        <w:spacing w:after="120"/>
        <w:ind w:left="360"/>
        <w:jc w:val="both"/>
      </w:pPr>
      <w:r w:rsidRPr="007D6B7A">
        <w:rPr>
          <w:u w:val="single"/>
        </w:rPr>
        <w:t>Forbedringsforslag</w:t>
      </w:r>
      <w:r>
        <w:t>:</w:t>
      </w:r>
    </w:p>
    <w:p w:rsidR="00650174" w:rsidP="00A33AD7" w14:paraId="018BB778" w14:textId="18AC185C">
      <w:pPr>
        <w:spacing w:after="240"/>
        <w:jc w:val="both"/>
      </w:pPr>
      <w:r>
        <w:t>Hvis du kjenner til et digitalt verktøy eller en undervisningsmetode som du mener</w:t>
      </w:r>
      <w:r w:rsidR="007D6B7A">
        <w:t xml:space="preserve"> kan forbedre undervisningen i et emne, kan du levere inn et forslag om dette.</w:t>
      </w:r>
    </w:p>
    <w:p w:rsidR="00650174" w:rsidP="00A33AD7" w14:paraId="20BAEEB3" w14:textId="607276F1">
      <w:pPr>
        <w:numPr>
          <w:ilvl w:val="0"/>
          <w:numId w:val="10"/>
        </w:numPr>
        <w:spacing w:after="120"/>
        <w:ind w:left="360"/>
        <w:jc w:val="both"/>
      </w:pPr>
      <w:r w:rsidRPr="007D6B7A">
        <w:rPr>
          <w:u w:val="single"/>
        </w:rPr>
        <w:t>Avvik/uønsket hendelse</w:t>
      </w:r>
      <w:r>
        <w:t>:</w:t>
      </w:r>
    </w:p>
    <w:p w:rsidR="007D6B7A" w:rsidP="00A33AD7" w14:paraId="70271E74" w14:textId="4C9F9F27">
      <w:pPr>
        <w:jc w:val="both"/>
      </w:pPr>
      <w:r>
        <w:t>Eks. 1: Hvis du har krav på ekstra tid ved eksamen (tilrettelegging) og likevel ikke får det.</w:t>
      </w:r>
    </w:p>
    <w:p w:rsidR="007D6B7A" w:rsidP="00A33AD7" w14:paraId="5814D541" w14:textId="3DF63D35">
      <w:pPr>
        <w:spacing w:after="240"/>
        <w:jc w:val="both"/>
      </w:pPr>
      <w:r>
        <w:t>Eks. 2: THYFs læringssystem er ikke tilgjengelig for lærere og studenter ved studiestart.</w:t>
      </w:r>
    </w:p>
    <w:p w:rsidR="00650174" w:rsidP="00A33AD7" w14:paraId="076C3968" w14:textId="201258C5">
      <w:pPr>
        <w:numPr>
          <w:ilvl w:val="0"/>
          <w:numId w:val="10"/>
        </w:numPr>
        <w:spacing w:after="120"/>
        <w:ind w:left="360"/>
        <w:jc w:val="both"/>
      </w:pPr>
      <w:r w:rsidRPr="007D6B7A">
        <w:rPr>
          <w:u w:val="single"/>
        </w:rPr>
        <w:t>Klage</w:t>
      </w:r>
      <w:r>
        <w:t>:</w:t>
      </w:r>
    </w:p>
    <w:p w:rsidR="007D6B7A" w:rsidP="00A33AD7" w14:paraId="5BC49697" w14:textId="77777777">
      <w:pPr>
        <w:jc w:val="both"/>
      </w:pPr>
      <w:r>
        <w:t>Eks. 1: Klage på feil i eksamensgjennomføring eller karakter på eksamen. Meldes til studieadm.</w:t>
      </w:r>
    </w:p>
    <w:p w:rsidR="007D6B7A" w:rsidP="00A33AD7" w14:paraId="7C640B49" w14:textId="1FBAC92D">
      <w:pPr>
        <w:spacing w:after="240"/>
        <w:jc w:val="both"/>
      </w:pPr>
      <w:r>
        <w:t>Eks. 2: Klage på undervisning i et emne/tema. Saken tas opp lokalt med lærer, faglig ansvarlig eller utdanningsleder.</w:t>
      </w:r>
    </w:p>
    <w:p w:rsidR="00650174" w:rsidP="00A33AD7" w14:paraId="218D49E6" w14:textId="74119A5E">
      <w:pPr>
        <w:numPr>
          <w:ilvl w:val="0"/>
          <w:numId w:val="10"/>
        </w:numPr>
        <w:spacing w:after="120"/>
        <w:ind w:left="360"/>
        <w:jc w:val="both"/>
      </w:pPr>
      <w:r w:rsidRPr="007D6B7A">
        <w:rPr>
          <w:u w:val="single"/>
        </w:rPr>
        <w:t>Varsel/varsling av kritikkverdig forhold</w:t>
      </w:r>
      <w:r>
        <w:t>:</w:t>
      </w:r>
    </w:p>
    <w:p w:rsidR="007D6B7A" w:rsidP="00A33AD7" w14:paraId="68263BB1" w14:textId="5593210C">
      <w:pPr>
        <w:jc w:val="both"/>
      </w:pPr>
      <w:r>
        <w:t>Eks. 1: Brudd på arbeidsmiljøloven, f.eks. arbeidsforhold som er til fare for liv og helse.</w:t>
      </w:r>
    </w:p>
    <w:p w:rsidR="00650174" w:rsidP="00A33AD7" w14:paraId="163DE1D8" w14:textId="28EEA0DF">
      <w:pPr>
        <w:jc w:val="both"/>
      </w:pPr>
      <w:r>
        <w:t>Eks. 2: Diskriminering, trakassering, mobbing e.l.</w:t>
      </w:r>
    </w:p>
    <w:p w:rsidR="00C21994" w:rsidP="00A33AD7" w14:paraId="46B11D2C" w14:textId="77777777">
      <w:pPr>
        <w:jc w:val="both"/>
      </w:pPr>
    </w:p>
    <w:p w:rsidR="006316A1" w:rsidRPr="006316A1" w:rsidP="00FE2E39" w14:paraId="58F3F47B" w14:textId="66212E1E">
      <w:pPr>
        <w:spacing w:before="48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  <w:r w:rsidRPr="006316A1">
        <w:rPr>
          <w:b/>
          <w:bCs/>
          <w:sz w:val="22"/>
          <w:szCs w:val="24"/>
        </w:rPr>
        <w:t>4. Ansvar og myndighet</w:t>
      </w:r>
    </w:p>
    <w:p w:rsidR="00A33AD7" w:rsidP="00A33AD7" w14:paraId="4DF02479" w14:textId="77777777">
      <w:pPr>
        <w:spacing w:after="120"/>
        <w:jc w:val="both"/>
        <w:rPr>
          <w:color w:val="000000"/>
          <w:szCs w:val="18"/>
          <w:shd w:val="clear" w:color="auto" w:fill="F8F9FA"/>
        </w:rPr>
      </w:pPr>
      <w:r w:rsidRPr="00A33AD7">
        <w:rPr>
          <w:color w:val="000000"/>
          <w:szCs w:val="18"/>
          <w:shd w:val="clear" w:color="auto" w:fill="F8F9FA"/>
        </w:rPr>
        <w:t>Rektor har overordnet ansvar.</w:t>
      </w:r>
    </w:p>
    <w:p w:rsidR="00BB1DCB" w:rsidP="00A33AD7" w14:paraId="63B07F72" w14:textId="3BCA1317">
      <w:pPr>
        <w:spacing w:after="120"/>
        <w:jc w:val="both"/>
        <w:rPr>
          <w:color w:val="000000"/>
          <w:szCs w:val="18"/>
          <w:shd w:val="clear" w:color="auto" w:fill="F8F9FA"/>
        </w:rPr>
      </w:pPr>
      <w:r w:rsidRPr="00A33AD7">
        <w:rPr>
          <w:color w:val="000000"/>
          <w:szCs w:val="18"/>
          <w:shd w:val="clear" w:color="auto" w:fill="F8F9FA"/>
        </w:rPr>
        <w:t xml:space="preserve">Kvalitetsrådgiver har systemansvar, følger opp </w:t>
      </w:r>
      <w:r>
        <w:rPr>
          <w:color w:val="000000"/>
          <w:szCs w:val="18"/>
          <w:shd w:val="clear" w:color="auto" w:fill="F8F9FA"/>
        </w:rPr>
        <w:t>melde</w:t>
      </w:r>
      <w:r w:rsidRPr="00A33AD7">
        <w:rPr>
          <w:color w:val="000000"/>
          <w:szCs w:val="18"/>
          <w:shd w:val="clear" w:color="auto" w:fill="F8F9FA"/>
        </w:rPr>
        <w:t>systemets funksjon på overordnet nivå, gjennomfører</w:t>
      </w:r>
      <w:r>
        <w:rPr>
          <w:color w:val="000000"/>
          <w:szCs w:val="18"/>
          <w:shd w:val="clear" w:color="auto" w:fill="F8F9FA"/>
        </w:rPr>
        <w:t xml:space="preserve"> nødvendig </w:t>
      </w:r>
      <w:r w:rsidRPr="00A33AD7">
        <w:rPr>
          <w:color w:val="000000"/>
          <w:szCs w:val="18"/>
          <w:shd w:val="clear" w:color="auto" w:fill="F8F9FA"/>
        </w:rPr>
        <w:t>opplæring og bistår saksbehandlere og andre involverte ved behov.</w:t>
      </w:r>
    </w:p>
    <w:p w:rsidR="00A33AD7" w:rsidP="00A33AD7" w14:paraId="1C01BA03" w14:textId="524B276E">
      <w:pPr>
        <w:spacing w:after="120"/>
        <w:jc w:val="both"/>
        <w:rPr>
          <w:color w:val="000000"/>
          <w:szCs w:val="18"/>
          <w:shd w:val="clear" w:color="auto" w:fill="F8F9FA"/>
        </w:rPr>
      </w:pPr>
      <w:r w:rsidRPr="00A33AD7">
        <w:rPr>
          <w:color w:val="000000"/>
          <w:szCs w:val="18"/>
          <w:shd w:val="clear" w:color="auto" w:fill="F8F9FA"/>
        </w:rPr>
        <w:t>Utdanningsleder, administrativ leder og studieadministrativ leder har et hovedansvar for gjennomføring</w:t>
      </w:r>
      <w:r>
        <w:rPr>
          <w:color w:val="000000"/>
          <w:szCs w:val="18"/>
          <w:shd w:val="clear" w:color="auto" w:fill="F8F9FA"/>
        </w:rPr>
        <w:t xml:space="preserve"> </w:t>
      </w:r>
      <w:r w:rsidRPr="00A33AD7">
        <w:rPr>
          <w:color w:val="000000"/>
          <w:szCs w:val="18"/>
          <w:shd w:val="clear" w:color="auto" w:fill="F8F9FA"/>
        </w:rPr>
        <w:t>av saksbehandling for innmeldte saker som hører inn under eget ansvars-, myndighets-</w:t>
      </w:r>
      <w:r>
        <w:rPr>
          <w:color w:val="000000"/>
          <w:szCs w:val="18"/>
          <w:shd w:val="clear" w:color="auto" w:fill="F8F9FA"/>
        </w:rPr>
        <w:t xml:space="preserve"> </w:t>
      </w:r>
      <w:r w:rsidRPr="00A33AD7">
        <w:rPr>
          <w:color w:val="000000"/>
          <w:szCs w:val="18"/>
          <w:shd w:val="clear" w:color="auto" w:fill="F8F9FA"/>
        </w:rPr>
        <w:t>og</w:t>
      </w:r>
      <w:r>
        <w:rPr>
          <w:color w:val="000000"/>
          <w:szCs w:val="18"/>
          <w:shd w:val="clear" w:color="auto" w:fill="F8F9FA"/>
        </w:rPr>
        <w:t xml:space="preserve"> </w:t>
      </w:r>
      <w:r w:rsidRPr="00A33AD7">
        <w:rPr>
          <w:color w:val="000000"/>
          <w:szCs w:val="18"/>
          <w:shd w:val="clear" w:color="auto" w:fill="F8F9FA"/>
        </w:rPr>
        <w:t>arbeidsområde,</w:t>
      </w:r>
      <w:r>
        <w:rPr>
          <w:color w:val="000000"/>
          <w:szCs w:val="18"/>
        </w:rPr>
        <w:t xml:space="preserve"> </w:t>
      </w:r>
      <w:r w:rsidRPr="00A33AD7">
        <w:rPr>
          <w:color w:val="000000"/>
          <w:szCs w:val="18"/>
          <w:shd w:val="clear" w:color="auto" w:fill="F8F9FA"/>
        </w:rPr>
        <w:t>jfr. rollebeskrivelser. Ansvaret omfatter også å utpeke saksbehandler, følge opp fremdrift og og lukke</w:t>
      </w:r>
      <w:r>
        <w:rPr>
          <w:color w:val="000000"/>
          <w:szCs w:val="18"/>
          <w:shd w:val="clear" w:color="auto" w:fill="F8F9FA"/>
        </w:rPr>
        <w:t xml:space="preserve"> </w:t>
      </w:r>
      <w:r w:rsidRPr="00A33AD7">
        <w:rPr>
          <w:color w:val="000000"/>
          <w:szCs w:val="18"/>
          <w:shd w:val="clear" w:color="auto" w:fill="F8F9FA"/>
        </w:rPr>
        <w:t>innmeldte saker.</w:t>
      </w:r>
    </w:p>
    <w:p w:rsidR="00A33AD7" w:rsidP="00A33AD7" w14:paraId="71B0E560" w14:textId="0C6AF72D">
      <w:pPr>
        <w:spacing w:after="120"/>
        <w:jc w:val="both"/>
        <w:rPr>
          <w:color w:val="000000"/>
          <w:szCs w:val="18"/>
          <w:shd w:val="clear" w:color="auto" w:fill="F8F9FA"/>
        </w:rPr>
      </w:pPr>
      <w:r w:rsidRPr="00A33AD7">
        <w:rPr>
          <w:color w:val="000000"/>
          <w:szCs w:val="18"/>
          <w:shd w:val="clear" w:color="auto" w:fill="F8F9FA"/>
        </w:rPr>
        <w:t xml:space="preserve">Alle ansatte ved THYF er forpliktet til å bidra ved forbedringsarbeider og har </w:t>
      </w:r>
      <w:r>
        <w:rPr>
          <w:color w:val="000000"/>
          <w:szCs w:val="18"/>
          <w:shd w:val="clear" w:color="auto" w:fill="F8F9FA"/>
        </w:rPr>
        <w:t xml:space="preserve">på </w:t>
      </w:r>
      <w:r w:rsidRPr="00A33AD7">
        <w:rPr>
          <w:color w:val="000000"/>
          <w:szCs w:val="18"/>
          <w:shd w:val="clear" w:color="auto" w:fill="F8F9FA"/>
        </w:rPr>
        <w:t>s</w:t>
      </w:r>
      <w:r>
        <w:rPr>
          <w:color w:val="000000"/>
          <w:szCs w:val="18"/>
          <w:shd w:val="clear" w:color="auto" w:fill="F8F9FA"/>
        </w:rPr>
        <w:t>amm</w:t>
      </w:r>
      <w:r w:rsidRPr="00A33AD7">
        <w:rPr>
          <w:color w:val="000000"/>
          <w:szCs w:val="18"/>
          <w:shd w:val="clear" w:color="auto" w:fill="F8F9FA"/>
        </w:rPr>
        <w:t>e</w:t>
      </w:r>
      <w:r>
        <w:rPr>
          <w:color w:val="000000"/>
          <w:szCs w:val="18"/>
          <w:shd w:val="clear" w:color="auto" w:fill="F8F9FA"/>
        </w:rPr>
        <w:t xml:space="preserve"> vi</w:t>
      </w:r>
      <w:r w:rsidRPr="00A33AD7">
        <w:rPr>
          <w:color w:val="000000"/>
          <w:szCs w:val="18"/>
          <w:shd w:val="clear" w:color="auto" w:fill="F8F9FA"/>
        </w:rPr>
        <w:t xml:space="preserve">s ansvar for å </w:t>
      </w:r>
      <w:r w:rsidR="00BB1DCB">
        <w:rPr>
          <w:color w:val="000000"/>
          <w:szCs w:val="18"/>
          <w:shd w:val="clear" w:color="auto" w:fill="F8F9FA"/>
        </w:rPr>
        <w:t xml:space="preserve">bistå kolleger, studenter og eksterne, f.eks. innleid personale, </w:t>
      </w:r>
      <w:r>
        <w:rPr>
          <w:color w:val="000000"/>
          <w:szCs w:val="18"/>
          <w:shd w:val="clear" w:color="auto" w:fill="F8F9FA"/>
        </w:rPr>
        <w:t xml:space="preserve">med informasjon om meldesystemene og </w:t>
      </w:r>
      <w:r w:rsidR="00BB1DCB">
        <w:rPr>
          <w:color w:val="000000"/>
          <w:szCs w:val="18"/>
          <w:shd w:val="clear" w:color="auto" w:fill="F8F9FA"/>
        </w:rPr>
        <w:t>ved inn</w:t>
      </w:r>
      <w:r w:rsidRPr="00A33AD7">
        <w:rPr>
          <w:color w:val="000000"/>
          <w:szCs w:val="18"/>
          <w:shd w:val="clear" w:color="auto" w:fill="F8F9FA"/>
        </w:rPr>
        <w:t>meld</w:t>
      </w:r>
      <w:r w:rsidR="00BB1DCB">
        <w:rPr>
          <w:color w:val="000000"/>
          <w:szCs w:val="18"/>
          <w:shd w:val="clear" w:color="auto" w:fill="F8F9FA"/>
        </w:rPr>
        <w:t>ing av</w:t>
      </w:r>
      <w:r w:rsidRPr="00A33AD7">
        <w:rPr>
          <w:color w:val="000000"/>
          <w:szCs w:val="18"/>
          <w:shd w:val="clear" w:color="auto" w:fill="F8F9FA"/>
        </w:rPr>
        <w:t xml:space="preserve"> saker via </w:t>
      </w:r>
      <w:r>
        <w:rPr>
          <w:color w:val="000000"/>
          <w:szCs w:val="18"/>
          <w:shd w:val="clear" w:color="auto" w:fill="F8F9FA"/>
        </w:rPr>
        <w:t xml:space="preserve">de </w:t>
      </w:r>
      <w:r w:rsidRPr="00A33AD7">
        <w:rPr>
          <w:color w:val="000000"/>
          <w:szCs w:val="18"/>
          <w:shd w:val="clear" w:color="auto" w:fill="F8F9FA"/>
        </w:rPr>
        <w:t>tilgjengelige meldesysteme</w:t>
      </w:r>
      <w:r>
        <w:rPr>
          <w:color w:val="000000"/>
          <w:szCs w:val="18"/>
          <w:shd w:val="clear" w:color="auto" w:fill="F8F9FA"/>
        </w:rPr>
        <w:t>ne</w:t>
      </w:r>
      <w:r w:rsidRPr="00A33AD7">
        <w:rPr>
          <w:color w:val="000000"/>
          <w:szCs w:val="18"/>
          <w:shd w:val="clear" w:color="auto" w:fill="F8F9FA"/>
        </w:rPr>
        <w:t xml:space="preserve"> ved THYF. </w:t>
      </w:r>
    </w:p>
    <w:p w:rsidR="007D5721" w:rsidP="00A33AD7" w14:paraId="334622D4" w14:textId="5F13B03E">
      <w:pPr>
        <w:spacing w:after="120"/>
        <w:jc w:val="both"/>
        <w:rPr>
          <w:color w:val="000000"/>
          <w:szCs w:val="18"/>
          <w:shd w:val="clear" w:color="auto" w:fill="F8F9FA"/>
        </w:rPr>
      </w:pPr>
    </w:p>
    <w:p w:rsidR="006316A1" w:rsidRPr="006316A1" w:rsidP="00A33AD7" w14:paraId="208FE2CF" w14:textId="390E3030">
      <w:pPr>
        <w:spacing w:after="120"/>
        <w:jc w:val="both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5. Beskrivelse</w:t>
      </w:r>
    </w:p>
    <w:p w:rsidR="000B0FAC" w:rsidP="000B0FAC" w14:paraId="393E46AB" w14:textId="1CE71744">
      <w:pPr>
        <w:spacing w:before="120" w:after="120"/>
        <w:jc w:val="both"/>
      </w:pPr>
      <w:r>
        <w:t>Det benyttes separate systemer for innmelding av saker</w:t>
      </w:r>
      <w:r w:rsidR="00B840F9">
        <w:t>, se figur 1</w:t>
      </w:r>
      <w:r>
        <w:t>:</w:t>
      </w:r>
    </w:p>
    <w:p w:rsidR="000B0FAC" w:rsidP="000B0FAC" w14:paraId="04A66056" w14:textId="33BCB109">
      <w:pPr>
        <w:numPr>
          <w:ilvl w:val="0"/>
          <w:numId w:val="13"/>
        </w:numPr>
        <w:spacing w:before="120" w:after="120"/>
        <w:ind w:left="714" w:hanging="357"/>
        <w:contextualSpacing/>
        <w:jc w:val="both"/>
      </w:pPr>
      <w:r>
        <w:t>Forbedringsforslag og uønskede hendelser knyttet til kvalitet.</w:t>
      </w:r>
    </w:p>
    <w:p w:rsidR="000B0FAC" w:rsidP="000B0FAC" w14:paraId="2E59D40E" w14:textId="46B6066D">
      <w:pPr>
        <w:numPr>
          <w:ilvl w:val="0"/>
          <w:numId w:val="13"/>
        </w:numPr>
        <w:spacing w:before="120" w:after="120"/>
        <w:ind w:left="714" w:hanging="357"/>
        <w:contextualSpacing/>
        <w:jc w:val="both"/>
      </w:pPr>
      <w:r>
        <w:t xml:space="preserve">Forbedringsforslag og uønskede hendelser knyttet til </w:t>
      </w:r>
      <w:r w:rsidR="00B840F9">
        <w:t>HMS og Informasjonssikkerhet/personvern</w:t>
      </w:r>
      <w:r>
        <w:t>.</w:t>
      </w:r>
    </w:p>
    <w:p w:rsidR="000B0FAC" w:rsidP="000B0FAC" w14:paraId="62C6822B" w14:textId="609607DB">
      <w:pPr>
        <w:numPr>
          <w:ilvl w:val="0"/>
          <w:numId w:val="13"/>
        </w:numPr>
        <w:spacing w:before="120" w:after="120"/>
        <w:ind w:left="714" w:hanging="357"/>
        <w:contextualSpacing/>
        <w:jc w:val="both"/>
      </w:pPr>
      <w:r>
        <w:t>Klager og varsling av kritikkverdige forhold, se egne, separate prosedyrer.</w:t>
      </w:r>
    </w:p>
    <w:p w:rsidR="00B840F9" w:rsidP="00B840F9" w14:paraId="71D27340" w14:textId="319C62A6">
      <w:pPr>
        <w:spacing w:before="240" w:after="240"/>
        <w:jc w:val="both"/>
        <w:rPr>
          <w:rFonts w:eastAsia="Calibri" w:cs="Arial"/>
          <w:szCs w:val="18"/>
        </w:rPr>
      </w:pPr>
      <w:r w:rsidRPr="004B1931">
        <w:rPr>
          <w:rFonts w:eastAsia="Calibri" w:cs="Arial"/>
          <w:szCs w:val="18"/>
        </w:rPr>
        <w:t xml:space="preserve">THYF skal arbeide for kontinuerlig å forbedre effektiviteten av </w:t>
      </w:r>
      <w:r>
        <w:rPr>
          <w:rFonts w:eastAsia="Calibri" w:cs="Arial"/>
          <w:szCs w:val="18"/>
        </w:rPr>
        <w:t xml:space="preserve">eget </w:t>
      </w:r>
      <w:r w:rsidRPr="004B1931">
        <w:rPr>
          <w:rFonts w:eastAsia="Calibri" w:cs="Arial"/>
          <w:szCs w:val="18"/>
        </w:rPr>
        <w:t>kvalitetsledelsessystem</w:t>
      </w:r>
      <w:r>
        <w:rPr>
          <w:rFonts w:eastAsia="Calibri" w:cs="Arial"/>
          <w:szCs w:val="18"/>
        </w:rPr>
        <w:t>. Forbedrings- og meldesystemer ved THYF utgjør dermed en svært viktig ressurs og bidragskilde til kontinuerlig forbedring.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9"/>
        <w:gridCol w:w="236"/>
        <w:gridCol w:w="5262"/>
      </w:tblGrid>
      <w:tr w14:paraId="51DA822D" w14:textId="77777777" w:rsidTr="009E0DF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789" w:type="dxa"/>
          </w:tcPr>
          <w:p w:rsidR="009E0DF2" w:rsidP="00D824F3" w14:paraId="32D37829" w14:textId="694E4EB9">
            <w:pPr>
              <w:spacing w:after="120"/>
              <w:jc w:val="both"/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noProof/>
                <w:szCs w:val="18"/>
              </w:rPr>
              <w:pict>
                <v:oval id="_x0000_s1026" style="width:28.35pt;height:28.35pt;margin-top:38.25pt;margin-left:7.1pt;position:absolute;z-index:251660288">
                  <v:textbox>
                    <w:txbxContent>
                      <w:p w:rsidR="00D824F3" w14:paraId="7ADB2B69" w14:textId="5DCF0A2B">
                        <w:r>
                          <w:t>2</w:t>
                        </w:r>
                        <w:r w:rsidR="00953701">
                          <w:t>.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Calibri" w:cs="Arial"/>
                <w:noProof/>
                <w:szCs w:val="18"/>
              </w:rPr>
              <w:pict>
                <v:oval id="_x0000_s1027" style="width:28.35pt;height:28.35pt;margin-top:16.5pt;margin-left:145.85pt;position:absolute;z-index:251659264">
                  <v:textbox>
                    <w:txbxContent>
                      <w:p w:rsidR="00D824F3" w14:paraId="5BF2A765" w14:textId="6AC60283">
                        <w:r>
                          <w:t>1</w:t>
                        </w:r>
                        <w:r w:rsidR="00953701">
                          <w:t>.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Calibri" w:cs="Arial"/>
                <w:noProof/>
                <w:szCs w:val="18"/>
              </w:rPr>
              <w:pict>
                <v:oval id="_x0000_s1028" style="width:28.35pt;height:28.35pt;margin-top:63pt;margin-left:133.85pt;position:absolute;z-index:251661312">
                  <v:textbox>
                    <w:txbxContent>
                      <w:p w:rsidR="00D824F3" w14:paraId="2625C0BD" w14:textId="495B5533">
                        <w:r>
                          <w:t>3</w:t>
                        </w:r>
                        <w:r w:rsidR="00953701">
                          <w:t>.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="Calibri" w:cs="Arial"/>
                <w:noProof/>
                <w:szCs w:val="18"/>
              </w:rPr>
              <w:pict>
                <v:shape id="_x0000_i1029" type="#_x0000_t75" style="width:178.5pt;height:102.75pt;mso-wrap-style:square;visibility:visible">
                  <v:imagedata r:id="rId6" o:title=""/>
                </v:shape>
              </w:pict>
            </w:r>
          </w:p>
        </w:tc>
        <w:tc>
          <w:tcPr>
            <w:tcW w:w="236" w:type="dxa"/>
          </w:tcPr>
          <w:p w:rsidR="009E0DF2" w:rsidP="009E0DF2" w14:paraId="2954A787" w14:textId="44117D39">
            <w:pPr>
              <w:jc w:val="both"/>
              <w:rPr>
                <w:rFonts w:eastAsia="Calibri" w:cs="Arial"/>
                <w:szCs w:val="18"/>
              </w:rPr>
            </w:pPr>
          </w:p>
        </w:tc>
        <w:tc>
          <w:tcPr>
            <w:tcW w:w="5262" w:type="dxa"/>
          </w:tcPr>
          <w:p w:rsidR="009E0DF2" w:rsidP="009E0DF2" w14:paraId="347438BC" w14:textId="77777777">
            <w:pPr>
              <w:rPr>
                <w:rFonts w:eastAsia="Calibri" w:cs="Arial"/>
                <w:szCs w:val="18"/>
              </w:rPr>
            </w:pPr>
          </w:p>
          <w:p w:rsidR="009E0DF2" w:rsidP="00E60BDA" w14:paraId="4E12D408" w14:textId="3A1A9D03">
            <w:pPr>
              <w:spacing w:after="120"/>
              <w:rPr>
                <w:rFonts w:eastAsia="Calibri" w:cs="Arial"/>
                <w:szCs w:val="18"/>
              </w:rPr>
            </w:pPr>
            <w:r w:rsidRPr="00953701">
              <w:rPr>
                <w:rFonts w:ascii="Wingdings" w:eastAsia="Calibri" w:hAnsi="Wingdings" w:cs="Arial"/>
                <w:sz w:val="24"/>
                <w:szCs w:val="24"/>
              </w:rPr>
              <w:sym w:font="Wingdings" w:char="F08C"/>
            </w:r>
            <w:r>
              <w:rPr>
                <w:rFonts w:eastAsia="Calibri" w:cs="Arial"/>
                <w:szCs w:val="18"/>
              </w:rPr>
              <w:t xml:space="preserve"> </w:t>
            </w:r>
            <w:r w:rsidR="00953701">
              <w:rPr>
                <w:rFonts w:eastAsia="Calibri" w:cs="Arial"/>
                <w:szCs w:val="18"/>
              </w:rPr>
              <w:t>Hendelse/forbedringsforslag knyttet til kvalitet, jfr. pkt. 5.1 og 5.3.</w:t>
            </w:r>
          </w:p>
          <w:p w:rsidR="009E0DF2" w:rsidP="00E60BDA" w14:paraId="1D7AA8B8" w14:textId="435E5726">
            <w:pPr>
              <w:spacing w:after="120"/>
              <w:rPr>
                <w:rFonts w:eastAsia="Calibri" w:cs="Arial"/>
                <w:szCs w:val="18"/>
              </w:rPr>
            </w:pPr>
            <w:r w:rsidRPr="00953701">
              <w:rPr>
                <w:rFonts w:ascii="Wingdings" w:eastAsia="Calibri" w:hAnsi="Wingdings" w:cs="Arial"/>
                <w:sz w:val="24"/>
                <w:szCs w:val="24"/>
              </w:rPr>
              <w:sym w:font="Wingdings" w:char="F08D"/>
            </w:r>
            <w:r>
              <w:rPr>
                <w:rFonts w:eastAsia="Calibri" w:cs="Arial"/>
                <w:szCs w:val="18"/>
              </w:rPr>
              <w:t xml:space="preserve"> </w:t>
            </w:r>
            <w:r w:rsidR="00953701">
              <w:rPr>
                <w:rFonts w:eastAsia="Calibri" w:cs="Arial"/>
                <w:szCs w:val="18"/>
              </w:rPr>
              <w:t>Hendelse/forbedringsforslag knyttet til HMS og Informasjonssikkerhet/ personvern. Jfr. pkt. 5.2 og 5.3.</w:t>
            </w:r>
          </w:p>
          <w:p w:rsidR="009E0DF2" w:rsidP="00D824F3" w14:paraId="75B59322" w14:textId="20E2BDAC">
            <w:pPr>
              <w:rPr>
                <w:rFonts w:eastAsia="Calibri" w:cs="Arial"/>
                <w:szCs w:val="18"/>
              </w:rPr>
            </w:pPr>
            <w:r w:rsidRPr="00953701">
              <w:rPr>
                <w:rFonts w:ascii="Wingdings" w:eastAsia="Calibri" w:hAnsi="Wingdings" w:cs="Arial"/>
                <w:sz w:val="24"/>
                <w:szCs w:val="24"/>
              </w:rPr>
              <w:sym w:font="Wingdings" w:char="F08E"/>
            </w:r>
            <w:r>
              <w:rPr>
                <w:rFonts w:eastAsia="Calibri" w:cs="Arial"/>
                <w:szCs w:val="18"/>
              </w:rPr>
              <w:t xml:space="preserve"> </w:t>
            </w:r>
            <w:r w:rsidR="00953701">
              <w:rPr>
                <w:rFonts w:eastAsia="Calibri" w:cs="Arial"/>
                <w:szCs w:val="18"/>
              </w:rPr>
              <w:t>Klage og varsling</w:t>
            </w:r>
            <w:r>
              <w:rPr>
                <w:rFonts w:eastAsia="Calibri" w:cs="Arial"/>
                <w:szCs w:val="18"/>
              </w:rPr>
              <w:t xml:space="preserve"> av kritikkverdig forhold for</w:t>
            </w:r>
            <w:r w:rsidR="00E60BDA">
              <w:rPr>
                <w:rFonts w:eastAsia="Calibri" w:cs="Arial"/>
                <w:szCs w:val="18"/>
              </w:rPr>
              <w:t xml:space="preserve"> ansatt/</w:t>
            </w:r>
            <w:r w:rsidR="00953701">
              <w:rPr>
                <w:rFonts w:eastAsia="Calibri" w:cs="Arial"/>
                <w:szCs w:val="18"/>
              </w:rPr>
              <w:t xml:space="preserve"> </w:t>
            </w:r>
            <w:r w:rsidR="00E60BDA">
              <w:rPr>
                <w:rFonts w:eastAsia="Calibri" w:cs="Arial"/>
                <w:szCs w:val="18"/>
              </w:rPr>
              <w:t>student/ekstern</w:t>
            </w:r>
            <w:r w:rsidR="00953701">
              <w:rPr>
                <w:rFonts w:eastAsia="Calibri" w:cs="Arial"/>
                <w:szCs w:val="18"/>
              </w:rPr>
              <w:t>, se egne prosedyrer!</w:t>
            </w:r>
          </w:p>
        </w:tc>
      </w:tr>
    </w:tbl>
    <w:p w:rsidR="00B840F9" w:rsidRPr="00B840F9" w:rsidP="00B840F9" w14:paraId="1DCC9D5F" w14:textId="45AD38C4">
      <w:pPr>
        <w:spacing w:before="240" w:after="120"/>
        <w:jc w:val="both"/>
        <w:rPr>
          <w:rFonts w:eastAsia="Calibri" w:cs="Arial"/>
          <w:szCs w:val="18"/>
        </w:rPr>
      </w:pPr>
      <w:r>
        <w:rPr>
          <w:rFonts w:eastAsia="Calibri" w:cs="Arial"/>
          <w:szCs w:val="18"/>
        </w:rPr>
        <w:t xml:space="preserve">Eksempler på meldeskjema er vist som vedlegg til </w:t>
      </w:r>
      <w:r>
        <w:rPr>
          <w:rFonts w:eastAsia="Calibri" w:cs="Arial"/>
          <w:szCs w:val="18"/>
        </w:rPr>
        <w:t>prosedyren.</w:t>
      </w:r>
    </w:p>
    <w:p w:rsidR="000B0FAC" w:rsidRPr="00A33AD7" w:rsidP="000B0FAC" w14:paraId="1FBBBE04" w14:textId="16344C50">
      <w:pPr>
        <w:spacing w:before="120" w:after="120"/>
        <w:jc w:val="both"/>
        <w:rPr>
          <w:u w:val="single"/>
        </w:rPr>
      </w:pPr>
      <w:r w:rsidRPr="00A277CA">
        <w:t>5.1</w:t>
      </w:r>
      <w:r w:rsidRPr="000B0FAC">
        <w:t xml:space="preserve"> </w:t>
      </w:r>
      <w:r>
        <w:rPr>
          <w:u w:val="single"/>
        </w:rPr>
        <w:t>Forbedringsforslag og hendelser knyttet til kvalite</w:t>
      </w:r>
      <w:r w:rsidR="00260CEC">
        <w:rPr>
          <w:u w:val="single"/>
        </w:rPr>
        <w:t>t ved THYF</w:t>
      </w:r>
      <w:r w:rsidRPr="00A33AD7">
        <w:rPr>
          <w:u w:val="single"/>
        </w:rPr>
        <w:t xml:space="preserve"> </w:t>
      </w:r>
    </w:p>
    <w:p w:rsidR="00260CEC" w:rsidP="000B0FAC" w14:paraId="08881EEE" w14:textId="77777777">
      <w:pPr>
        <w:spacing w:after="120"/>
        <w:jc w:val="both"/>
      </w:pPr>
      <w:r>
        <w:t>Ansatte melder inn forbedringssak/hendelser via kvalitetsportal. Studenter og eksterne kan melde inn hendelser via eksternweb-løsning.</w:t>
      </w:r>
    </w:p>
    <w:p w:rsidR="000B0FAC" w:rsidP="000B0FAC" w14:paraId="007566DD" w14:textId="43207809">
      <w:pPr>
        <w:spacing w:after="120"/>
        <w:jc w:val="both"/>
      </w:pPr>
      <w:r>
        <w:t xml:space="preserve">Det er også mulig å melde inn sak via app levert av Datakvalitet </w:t>
      </w:r>
      <w:r w:rsidR="00B840F9">
        <w:t>AS som er leverandør av kvalitetsportal og eksternweb-løsning</w:t>
      </w:r>
      <w:r>
        <w:t>.</w:t>
      </w:r>
    </w:p>
    <w:p w:rsidR="00FE2E39" w:rsidRPr="00A33AD7" w:rsidP="006F0C36" w14:paraId="0EB6924A" w14:textId="39255011">
      <w:pPr>
        <w:spacing w:before="120" w:after="120"/>
        <w:jc w:val="both"/>
        <w:rPr>
          <w:u w:val="single"/>
        </w:rPr>
      </w:pPr>
      <w:r w:rsidRPr="00A277CA">
        <w:t>5.</w:t>
      </w:r>
      <w:r w:rsidR="00260CEC">
        <w:t>2</w:t>
      </w:r>
      <w:r w:rsidRPr="00260CEC">
        <w:t xml:space="preserve"> </w:t>
      </w:r>
      <w:r w:rsidR="00260CEC">
        <w:rPr>
          <w:u w:val="single"/>
        </w:rPr>
        <w:t>Forbedringsforslag og hendelser knyttet til HMS</w:t>
      </w:r>
      <w:r w:rsidRPr="00A33AD7" w:rsidR="00260CEC">
        <w:rPr>
          <w:u w:val="single"/>
        </w:rPr>
        <w:t xml:space="preserve"> </w:t>
      </w:r>
      <w:r w:rsidRPr="00A33AD7">
        <w:rPr>
          <w:u w:val="single"/>
        </w:rPr>
        <w:t>ved THYF</w:t>
      </w:r>
      <w:r w:rsidRPr="00A33AD7" w:rsidR="00977C11">
        <w:rPr>
          <w:u w:val="single"/>
        </w:rPr>
        <w:t xml:space="preserve"> </w:t>
      </w:r>
    </w:p>
    <w:p w:rsidR="00260CEC" w:rsidP="00260CEC" w14:paraId="300A7A72" w14:textId="71D6D355">
      <w:pPr>
        <w:spacing w:after="120"/>
        <w:jc w:val="both"/>
      </w:pPr>
      <w:r>
        <w:t>Ansatte melder inn forbedringssak/hendelser via TQM Enterprise. Tilgang ligger kvalitetsportal. Studenter og eksterne kan melde inn hendelser via eksternweb-løsning.</w:t>
      </w:r>
    </w:p>
    <w:p w:rsidR="00260CEC" w:rsidP="00260CEC" w14:paraId="600FB40B" w14:textId="6DE93E20">
      <w:pPr>
        <w:spacing w:after="120"/>
        <w:jc w:val="both"/>
      </w:pPr>
      <w:r>
        <w:t xml:space="preserve">Hendelser knyttet til Informasjonssikkerhet og personvern anbefales også meldt inn via </w:t>
      </w:r>
      <w:r w:rsidR="00B840F9">
        <w:t>TQM Enterprise.</w:t>
      </w:r>
    </w:p>
    <w:p w:rsidR="00B840F9" w:rsidRPr="00A33AD7" w:rsidP="00B840F9" w14:paraId="286680EE" w14:textId="3C5F2131">
      <w:pPr>
        <w:spacing w:before="120" w:after="120"/>
        <w:jc w:val="both"/>
        <w:rPr>
          <w:u w:val="single"/>
        </w:rPr>
      </w:pPr>
      <w:r w:rsidRPr="00A277CA">
        <w:t>5.</w:t>
      </w:r>
      <w:r>
        <w:t>3</w:t>
      </w:r>
      <w:r w:rsidRPr="00260CEC">
        <w:t xml:space="preserve"> </w:t>
      </w:r>
      <w:r>
        <w:rPr>
          <w:u w:val="single"/>
        </w:rPr>
        <w:t>Innmelding av sak via app.</w:t>
      </w:r>
      <w:r w:rsidRPr="00A33AD7">
        <w:rPr>
          <w:u w:val="single"/>
        </w:rPr>
        <w:t xml:space="preserve"> </w:t>
      </w:r>
    </w:p>
    <w:p w:rsidR="00A33AD7" w:rsidP="00B840F9" w14:paraId="2EEC91A8" w14:textId="090562CA">
      <w:pPr>
        <w:spacing w:after="120"/>
        <w:jc w:val="both"/>
      </w:pPr>
      <w:r>
        <w:t xml:space="preserve">Kvalitetsportalen er levert av Datakvalitet AS. App for </w:t>
      </w:r>
      <w:r>
        <w:t>tilgang til kvalitetsportalen og meldesystem kan lastes ned fra Google Play (Android) eller App store (Iphone).</w:t>
      </w:r>
    </w:p>
    <w:p w:rsidR="00B840F9" w:rsidP="00B840F9" w14:paraId="05C963A2" w14:textId="2135FD40">
      <w:pPr>
        <w:spacing w:after="120"/>
        <w:jc w:val="both"/>
      </w:pPr>
      <w:r>
        <w:t>Det finnes en tilsvarende app for tilgang til TQM Enterprise via Google Play og App store.</w:t>
      </w:r>
    </w:p>
    <w:p w:rsidR="00260CEC" w:rsidP="00260CEC" w14:paraId="2D9F2652" w14:textId="77777777">
      <w:pPr>
        <w:spacing w:after="120"/>
        <w:jc w:val="both"/>
      </w:pPr>
    </w:p>
    <w:p w:rsidR="001910A3" w:rsidP="00260CEC" w14:paraId="577B93C0" w14:textId="77777777">
      <w:pPr>
        <w:spacing w:after="120"/>
        <w:jc w:val="both"/>
      </w:pPr>
    </w:p>
    <w:p w:rsidR="00E60BDA" w:rsidRPr="006316A1" w:rsidP="00E60BDA" w14:paraId="4B827FA8" w14:textId="6AA5294E">
      <w:pP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</w:t>
      </w:r>
      <w:r w:rsidRPr="006316A1">
        <w:rPr>
          <w:b/>
          <w:bCs/>
          <w:sz w:val="22"/>
          <w:szCs w:val="24"/>
        </w:rPr>
        <w:t xml:space="preserve">. </w:t>
      </w:r>
      <w:r>
        <w:rPr>
          <w:b/>
          <w:bCs/>
          <w:sz w:val="22"/>
          <w:szCs w:val="24"/>
        </w:rPr>
        <w:t>Referanser</w:t>
      </w:r>
    </w:p>
    <w:p w:rsidR="00E60BDA" w:rsidP="00E60BDA" w14:paraId="58E1F49D" w14:textId="77777777">
      <w:pPr>
        <w:spacing w:before="120" w:after="120"/>
        <w:jc w:val="both"/>
      </w:pPr>
      <w:r>
        <w:t xml:space="preserve">Kryssreferanser henviser til dokumenter som finnes i THYFs ledelsessystem. Eksterne referanser henviser til dokumenter som ligger tilgjengelig utenfor ledelsessystemet. </w:t>
      </w:r>
    </w:p>
    <w:p w:rsidR="00A277CA" w:rsidP="00E60BDA" w14:paraId="25C7E46F" w14:textId="6F7202C6">
      <w:pPr>
        <w:spacing w:before="120" w:after="120"/>
        <w:jc w:val="both"/>
      </w:pPr>
      <w:r>
        <w:t>Referanser utgjør viktige systemforbindelser til relaterte dokumenter, skjema, prosessflytdiagram, nettsteder, eller annen relevant informasjon som for eksempel lover, forskrifter og standarder.</w:t>
      </w:r>
    </w:p>
    <w:p w:rsidR="00E60BDA" w:rsidRPr="00CF0617" w:rsidP="00A277CA" w14:paraId="7DE4AFA6" w14:textId="77777777">
      <w:pPr>
        <w:jc w:val="both"/>
      </w:pPr>
    </w:p>
    <w:p w:rsidR="00A277CA" w:rsidRPr="00CF0617" w:rsidP="00E60BDA" w14:paraId="00932E86" w14:textId="77777777">
      <w:pPr>
        <w:spacing w:after="120"/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7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1.3.5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Melde inn klage ved THYF</w:t>
              </w:r>
            </w:hyperlink>
          </w:p>
        </w:tc>
      </w:tr>
    </w:tbl>
    <w:p w:rsidR="00A277CA" w:rsidP="00A277CA" w14:paraId="49B9267E" w14:textId="77777777">
      <w:pPr>
        <w:rPr>
          <w:b/>
          <w:bCs/>
          <w:szCs w:val="18"/>
        </w:rPr>
      </w:pPr>
      <w:bookmarkEnd w:id="1"/>
    </w:p>
    <w:p w:rsidR="00A277CA" w:rsidRPr="00CF0617" w:rsidP="00E60BDA" w14:paraId="5F06990C" w14:textId="77777777">
      <w:pPr>
        <w:spacing w:after="120"/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9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15505 Arbeidstilsynet om avvik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anchor="search=varsling" w:history="1">
              <w:r>
                <w:rPr>
                  <w:b w:val="0"/>
                  <w:color w:val="0000FF"/>
                  <w:u w:val="single"/>
                </w:rPr>
                <w:t>15506 Rutine for varsling av kritikkverdige forhold i Trøndelag fylkeskommune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.18.1.2 FOR-2019-07-11-1005 Forskrift om høyere yrkesfaglig utdanning (fagskoleforskriften)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.18.1.3 FOR-2021-06-30-2379 Forskrift om høyere yrkesfaglig utdanning ved Trøndelag høyere yrkesfagskole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277C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.18.1.1 LOV-2018-06-08-28 Lov om høyere yrkesfaglig utdanning (fagskoleloven)</w:t>
              </w:r>
            </w:hyperlink>
          </w:p>
        </w:tc>
      </w:tr>
    </w:tbl>
    <w:p w:rsidR="00A277CA" w:rsidRPr="00CF0617" w:rsidP="00A277CA" w14:paraId="216B5216" w14:textId="77777777">
      <w:pPr>
        <w:rPr>
          <w:szCs w:val="18"/>
        </w:rPr>
      </w:pPr>
      <w:bookmarkEnd w:id="2"/>
    </w:p>
    <w:p w:rsidR="00E60BDA" w:rsidP="00787D2A" w14:paraId="3D7D7E64" w14:textId="77777777">
      <w:pPr>
        <w:spacing w:after="120"/>
        <w:jc w:val="both"/>
        <w:rPr>
          <w:rFonts w:eastAsia="Calibri" w:cs="Arial"/>
          <w:szCs w:val="18"/>
        </w:rPr>
        <w:sectPr>
          <w:head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formProt w:val="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2"/>
        <w:gridCol w:w="5436"/>
        <w:gridCol w:w="2270"/>
      </w:tblGrid>
      <w:tr w14:paraId="048DC2C1" w14:textId="77777777" w:rsidTr="008307C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008" w:type="dxa"/>
            <w:gridSpan w:val="2"/>
          </w:tcPr>
          <w:p w:rsidR="008307CA" w:rsidP="00787D2A" w14:paraId="06ACFA20" w14:textId="255B15A2">
            <w:pPr>
              <w:spacing w:after="120"/>
              <w:jc w:val="both"/>
              <w:rPr>
                <w:rFonts w:eastAsia="Calibri" w:cs="Arial"/>
                <w:szCs w:val="18"/>
              </w:rPr>
            </w:pPr>
            <w:r w:rsidRPr="00305B9F">
              <w:rPr>
                <w:rFonts w:eastAsia="Calibri" w:cs="Arial"/>
                <w:b/>
                <w:bCs/>
                <w:szCs w:val="18"/>
              </w:rPr>
              <w:t>EKSEMPLER PÅ MELDING OM KVALITETSAVVIK OG FORBEDRINGSFORSLAG</w:t>
            </w:r>
          </w:p>
        </w:tc>
        <w:tc>
          <w:tcPr>
            <w:tcW w:w="2270" w:type="dxa"/>
          </w:tcPr>
          <w:p w:rsidR="008307CA" w:rsidRPr="008307CA" w:rsidP="00787D2A" w14:paraId="3504646F" w14:textId="27DCA2EF">
            <w:pPr>
              <w:spacing w:after="120"/>
              <w:jc w:val="both"/>
              <w:rPr>
                <w:rFonts w:eastAsia="Calibri" w:cs="Arial"/>
                <w:b/>
                <w:bCs/>
                <w:szCs w:val="18"/>
              </w:rPr>
            </w:pPr>
            <w:r w:rsidRPr="008307CA">
              <w:rPr>
                <w:rFonts w:eastAsia="Calibri" w:cs="Arial"/>
                <w:b/>
                <w:bCs/>
                <w:szCs w:val="18"/>
              </w:rPr>
              <w:t>VEDLEGG 1</w:t>
            </w:r>
          </w:p>
        </w:tc>
      </w:tr>
      <w:tr w14:paraId="3178A4E1" w14:textId="77777777" w:rsidTr="008307C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572" w:type="dxa"/>
          </w:tcPr>
          <w:p w:rsidR="00305B9F" w:rsidP="00DC30B4" w14:paraId="0275C101" w14:textId="272EE9CF">
            <w:pPr>
              <w:spacing w:before="120" w:after="120"/>
              <w:ind w:left="142" w:hanging="142"/>
              <w:jc w:val="both"/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noProof/>
                <w:szCs w:val="1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0" type="#_x0000_t66" style="width:48.75pt;height:12pt;margin-top:70.6pt;margin-left:342.95pt;position:absolute;rotation:180;z-index:251663360"/>
              </w:pict>
            </w:r>
            <w:r>
              <w:rPr>
                <w:noProof/>
              </w:rPr>
              <w:pict>
                <v:shape id="_x0000_i1031" type="#_x0000_t75" alt="Et bilde som inneholder tekst, skjermbilde, nummer, programvare&#10;&#10;Automatisk generert beskrivelse" style="width:357pt;height:369pt;mso-wrap-style:square;visibility:visible" o:bordertopcolor="#4f81bd" o:borderleftcolor="#4f81bd" o:borderbottomcolor="#4f81bd" o:borderrightcolor="#4f81bd">
                  <v:imagedata r:id="rId18" o:title="Et bilde som inneholder tekst, skjermbilde, nummer, programvare&#10;&#10;Automatisk generert beskrivelse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7704" w:type="dxa"/>
            <w:gridSpan w:val="2"/>
          </w:tcPr>
          <w:p w:rsidR="00305B9F" w:rsidP="00422BD3" w14:paraId="6FD18D32" w14:textId="4B3ABB44">
            <w:pPr>
              <w:spacing w:before="120" w:after="120"/>
              <w:jc w:val="both"/>
              <w:rPr>
                <w:rFonts w:eastAsia="Calibri" w:cs="Arial"/>
                <w:noProof/>
                <w:szCs w:val="18"/>
              </w:rPr>
            </w:pPr>
            <w:r>
              <w:rPr>
                <w:rFonts w:eastAsia="Calibri" w:cs="Arial"/>
                <w:noProof/>
                <w:szCs w:val="18"/>
              </w:rPr>
              <w:pict>
                <v:shape id="_x0000_s1032" type="#_x0000_t66" style="width:48.75pt;height:12pt;margin-top:83.35pt;margin-left:72.35pt;position:absolute;z-index:251662336"/>
              </w:pict>
            </w:r>
            <w:r>
              <w:rPr>
                <w:rFonts w:eastAsia="Calibri" w:cs="Arial"/>
                <w:noProof/>
                <w:szCs w:val="18"/>
              </w:rPr>
              <w:pict>
                <v:shape id="_x0000_i1033" type="#_x0000_t75" style="width:354pt;height:230.25pt;mso-left-percent:-10001;mso-position-horizontal-relative:char;mso-position-vertical-relative:line;mso-top-percent:-10001">
                  <v:imagedata r:id="rId19" o:title=""/>
                  <w10:wrap type="none"/>
                </v:shape>
              </w:pict>
            </w:r>
          </w:p>
          <w:p w:rsidR="00DC30B4" w:rsidP="00DC30B4" w14:paraId="2ECD6F50" w14:textId="77777777">
            <w:pPr>
              <w:spacing w:before="120" w:after="120"/>
              <w:jc w:val="both"/>
              <w:rPr>
                <w:rFonts w:eastAsia="Calibri" w:cs="Arial"/>
                <w:noProof/>
                <w:szCs w:val="18"/>
              </w:rPr>
            </w:pPr>
          </w:p>
          <w:p w:rsidR="00DC30B4" w:rsidP="00DC30B4" w14:paraId="7A79E5FA" w14:textId="2558327E">
            <w:pPr>
              <w:spacing w:before="120" w:after="120"/>
              <w:jc w:val="both"/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noProof/>
                <w:szCs w:val="18"/>
              </w:rPr>
              <w:t>Eksempel fra melding av forbedringsforslag via eksternweb av student.</w:t>
            </w:r>
          </w:p>
        </w:tc>
      </w:tr>
    </w:tbl>
    <w:p w:rsidR="008307CA" w:rsidP="00787D2A" w14:paraId="5709DE6E" w14:textId="3FC1AE71">
      <w:pPr>
        <w:spacing w:after="120"/>
        <w:jc w:val="both"/>
        <w:rPr>
          <w:rFonts w:eastAsia="Calibri" w:cs="Arial"/>
          <w:szCs w:val="18"/>
        </w:rPr>
      </w:pPr>
    </w:p>
    <w:p w:rsidR="008307CA" w:rsidP="00787D2A" w14:paraId="324BF53C" w14:textId="77777777">
      <w:pPr>
        <w:spacing w:after="120"/>
        <w:jc w:val="both"/>
        <w:rPr>
          <w:rFonts w:eastAsia="Calibri" w:cs="Arial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8"/>
        <w:gridCol w:w="2270"/>
      </w:tblGrid>
      <w:tr w14:paraId="607AF025" w14:textId="77777777" w:rsidTr="00CD538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008" w:type="dxa"/>
          </w:tcPr>
          <w:p w:rsidR="008307CA" w:rsidP="00CD5388" w14:paraId="467037D8" w14:textId="7A5ACAED">
            <w:pPr>
              <w:spacing w:after="120"/>
              <w:jc w:val="both"/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br w:type="page"/>
            </w:r>
            <w:r>
              <w:rPr>
                <w:rFonts w:eastAsia="Calibri" w:cs="Arial"/>
                <w:szCs w:val="18"/>
              </w:rPr>
              <w:br w:type="page"/>
            </w:r>
            <w:r w:rsidRPr="00305B9F">
              <w:rPr>
                <w:rFonts w:eastAsia="Calibri" w:cs="Arial"/>
                <w:b/>
                <w:bCs/>
                <w:szCs w:val="18"/>
              </w:rPr>
              <w:t xml:space="preserve">EKSEMPLER PÅ MELDING OM </w:t>
            </w:r>
            <w:r w:rsidR="00A842B2">
              <w:rPr>
                <w:rFonts w:eastAsia="Calibri" w:cs="Arial"/>
                <w:b/>
                <w:bCs/>
                <w:szCs w:val="18"/>
              </w:rPr>
              <w:t>HMS-</w:t>
            </w:r>
            <w:r w:rsidRPr="00305B9F">
              <w:rPr>
                <w:rFonts w:eastAsia="Calibri" w:cs="Arial"/>
                <w:b/>
                <w:bCs/>
                <w:szCs w:val="18"/>
              </w:rPr>
              <w:t xml:space="preserve">AVVIK OG </w:t>
            </w:r>
            <w:r w:rsidRPr="00305B9F">
              <w:rPr>
                <w:rFonts w:eastAsia="Calibri" w:cs="Arial"/>
                <w:b/>
                <w:bCs/>
                <w:szCs w:val="18"/>
              </w:rPr>
              <w:t>FORBEDRINGSFORSLAG</w:t>
            </w:r>
            <w:r w:rsidR="00A842B2">
              <w:rPr>
                <w:rFonts w:eastAsia="Calibri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2270" w:type="dxa"/>
          </w:tcPr>
          <w:p w:rsidR="008307CA" w:rsidRPr="008307CA" w:rsidP="00CD5388" w14:paraId="5A1B32DB" w14:textId="73F6388B">
            <w:pPr>
              <w:spacing w:after="120"/>
              <w:jc w:val="both"/>
              <w:rPr>
                <w:rFonts w:eastAsia="Calibri" w:cs="Arial"/>
                <w:b/>
                <w:bCs/>
                <w:szCs w:val="18"/>
              </w:rPr>
            </w:pPr>
            <w:r w:rsidRPr="008307CA">
              <w:rPr>
                <w:rFonts w:eastAsia="Calibri" w:cs="Arial"/>
                <w:b/>
                <w:bCs/>
                <w:szCs w:val="18"/>
              </w:rPr>
              <w:t xml:space="preserve">VEDLEGG </w:t>
            </w:r>
            <w:r w:rsidR="00A842B2">
              <w:rPr>
                <w:rFonts w:eastAsia="Calibri" w:cs="Arial"/>
                <w:b/>
                <w:bCs/>
                <w:szCs w:val="18"/>
              </w:rPr>
              <w:t>2</w:t>
            </w:r>
          </w:p>
        </w:tc>
      </w:tr>
      <w:tr w14:paraId="73C8EEFA" w14:textId="77777777" w:rsidTr="007F575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278" w:type="dxa"/>
            <w:gridSpan w:val="2"/>
          </w:tcPr>
          <w:p w:rsidR="008307CA" w:rsidP="00CD5388" w14:paraId="431E12ED" w14:textId="4EFA1481">
            <w:pPr>
              <w:spacing w:after="120"/>
              <w:jc w:val="both"/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noProof/>
                <w:szCs w:val="18"/>
              </w:rPr>
              <w:pict>
                <v:rect id="_x0000_s1034" style="width:91.5pt;height:11.25pt;margin-top:51.8pt;margin-left:127.7pt;position:absolute;z-index:251658240" fillcolor="#a5a5a5" strokecolor="#b8cce4"/>
              </w:pict>
            </w:r>
            <w:r>
              <w:rPr>
                <w:rFonts w:eastAsia="Calibri" w:cs="Arial"/>
                <w:noProof/>
                <w:szCs w:val="18"/>
              </w:rPr>
              <w:pict>
                <v:shape id="_x0000_i1035" type="#_x0000_t75" style="width:691.5pt;height:360.75pt;mso-wrap-style:square;visibility:visible">
                  <v:imagedata r:id="rId20" o:title=""/>
                </v:shape>
              </w:pict>
            </w:r>
          </w:p>
        </w:tc>
      </w:tr>
    </w:tbl>
    <w:p w:rsidR="00305B9F" w:rsidRPr="00787D2A" w:rsidP="00787D2A" w14:paraId="25D48F4C" w14:textId="5E65FDF7">
      <w:pPr>
        <w:spacing w:after="120"/>
        <w:jc w:val="both"/>
        <w:rPr>
          <w:rFonts w:eastAsia="Calibri" w:cs="Arial"/>
          <w:szCs w:val="18"/>
        </w:rPr>
      </w:pPr>
    </w:p>
    <w:sectPr w:rsidSect="00E60BDA"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4F4B22E4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845"/>
      <w:gridCol w:w="3278"/>
    </w:tblGrid>
    <w:tr w14:paraId="02699B7B" w14:textId="77777777" w:rsidTr="00A842B2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409"/>
      </w:trPr>
      <w:tc>
        <w:tcPr>
          <w:tcW w:w="11845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Melde forbedringsforslag, avvik, observasjoner og andre uønskede hendelser.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3278" w:type="dxa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1.3.2</w:t>
          </w:r>
          <w:r>
            <w:rPr>
              <w:sz w:val="20"/>
            </w:rPr>
            <w:fldChar w:fldCharType="end"/>
          </w:r>
        </w:p>
      </w:tc>
    </w:tr>
    <w:tr w14:paraId="02699B7E" w14:textId="77777777" w:rsidTr="00A842B2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320"/>
      </w:trPr>
      <w:tc>
        <w:tcPr>
          <w:tcW w:w="11845" w:type="dxa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3278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810"/>
      <w:gridCol w:w="3269"/>
    </w:tblGrid>
    <w:tr w14:paraId="7D72724A" w14:textId="77777777" w:rsidTr="00305B9F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411"/>
      </w:trPr>
      <w:tc>
        <w:tcPr>
          <w:tcW w:w="11810" w:type="dxa"/>
          <w:tcBorders>
            <w:bottom w:val="nil"/>
          </w:tcBorders>
        </w:tcPr>
        <w:p w:rsidR="00305B9F" w:rsidP="00305B9F" w14:paraId="31FD9865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Melde forbedringsforslag, avvik, observasjoner og andre uønskede hendelser.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3269" w:type="dxa"/>
          <w:tcBorders>
            <w:bottom w:val="nil"/>
          </w:tcBorders>
        </w:tcPr>
        <w:p w:rsidR="00305B9F" w:rsidP="00305B9F" w14:paraId="68CC374D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1.3.2</w:t>
          </w:r>
          <w:r>
            <w:rPr>
              <w:sz w:val="20"/>
            </w:rPr>
            <w:fldChar w:fldCharType="end"/>
          </w:r>
        </w:p>
      </w:tc>
    </w:tr>
    <w:tr w14:paraId="6272CA1F" w14:textId="77777777" w:rsidTr="00305B9F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340"/>
      </w:trPr>
      <w:tc>
        <w:tcPr>
          <w:tcW w:w="11810" w:type="dxa"/>
          <w:tcBorders>
            <w:left w:val="nil"/>
            <w:bottom w:val="nil"/>
            <w:right w:val="nil"/>
          </w:tcBorders>
        </w:tcPr>
        <w:p w:rsidR="00305B9F" w:rsidP="00305B9F" w14:paraId="2A97819C" w14:textId="77777777">
          <w:pPr>
            <w:spacing w:before="80"/>
            <w:rPr>
              <w:sz w:val="20"/>
            </w:rPr>
          </w:pPr>
        </w:p>
      </w:tc>
      <w:tc>
        <w:tcPr>
          <w:tcW w:w="3269" w:type="dxa"/>
          <w:tcBorders>
            <w:left w:val="nil"/>
            <w:bottom w:val="nil"/>
            <w:right w:val="nil"/>
          </w:tcBorders>
        </w:tcPr>
        <w:p w:rsidR="00305B9F" w:rsidP="00305B9F" w14:paraId="115419E9" w14:textId="696C2174">
          <w:pPr>
            <w:spacing w:before="80" w:after="80"/>
            <w:jc w:val="right"/>
            <w:rPr>
              <w:sz w:val="20"/>
            </w:rPr>
          </w:pPr>
          <w:r>
            <w:rPr>
              <w:sz w:val="20"/>
            </w:rPr>
            <w:t xml:space="preserve">Side: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 w:rsidR="00E60BDA" w14:paraId="1D8499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F54B6"/>
    <w:multiLevelType w:val="hybridMultilevel"/>
    <w:tmpl w:val="8F9CD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5E5"/>
    <w:multiLevelType w:val="hybridMultilevel"/>
    <w:tmpl w:val="2392F6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3B5"/>
    <w:multiLevelType w:val="hybridMultilevel"/>
    <w:tmpl w:val="DDBA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BB8"/>
    <w:multiLevelType w:val="hybridMultilevel"/>
    <w:tmpl w:val="E54E9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BC3"/>
    <w:multiLevelType w:val="hybridMultilevel"/>
    <w:tmpl w:val="BAE44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3EE5"/>
    <w:multiLevelType w:val="hybridMultilevel"/>
    <w:tmpl w:val="16C85E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2021"/>
    <w:multiLevelType w:val="hybridMultilevel"/>
    <w:tmpl w:val="CEAC546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BFF2D00"/>
    <w:multiLevelType w:val="hybridMultilevel"/>
    <w:tmpl w:val="1F206A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364F"/>
    <w:multiLevelType w:val="hybridMultilevel"/>
    <w:tmpl w:val="771605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D4C20"/>
    <w:multiLevelType w:val="hybridMultilevel"/>
    <w:tmpl w:val="638445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0496"/>
    <w:multiLevelType w:val="hybridMultilevel"/>
    <w:tmpl w:val="6284B7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65B"/>
    <w:multiLevelType w:val="hybridMultilevel"/>
    <w:tmpl w:val="38160B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86744"/>
    <w:multiLevelType w:val="hybridMultilevel"/>
    <w:tmpl w:val="E3283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95574">
    <w:abstractNumId w:val="0"/>
  </w:num>
  <w:num w:numId="2" w16cid:durableId="761756708">
    <w:abstractNumId w:val="1"/>
  </w:num>
  <w:num w:numId="3" w16cid:durableId="1862550859">
    <w:abstractNumId w:val="6"/>
  </w:num>
  <w:num w:numId="4" w16cid:durableId="208495169">
    <w:abstractNumId w:val="12"/>
  </w:num>
  <w:num w:numId="5" w16cid:durableId="668489012">
    <w:abstractNumId w:val="11"/>
  </w:num>
  <w:num w:numId="6" w16cid:durableId="1483426320">
    <w:abstractNumId w:val="5"/>
  </w:num>
  <w:num w:numId="7" w16cid:durableId="51663319">
    <w:abstractNumId w:val="10"/>
  </w:num>
  <w:num w:numId="8" w16cid:durableId="1296832433">
    <w:abstractNumId w:val="8"/>
  </w:num>
  <w:num w:numId="9" w16cid:durableId="165050314">
    <w:abstractNumId w:val="3"/>
  </w:num>
  <w:num w:numId="10" w16cid:durableId="186334519">
    <w:abstractNumId w:val="4"/>
  </w:num>
  <w:num w:numId="11" w16cid:durableId="303507448">
    <w:abstractNumId w:val="2"/>
  </w:num>
  <w:num w:numId="12" w16cid:durableId="1256133200">
    <w:abstractNumId w:val="7"/>
  </w:num>
  <w:num w:numId="13" w16cid:durableId="1897471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44D76"/>
    <w:rsid w:val="00053E02"/>
    <w:rsid w:val="00062D91"/>
    <w:rsid w:val="00064B5B"/>
    <w:rsid w:val="000A0F47"/>
    <w:rsid w:val="000B0FAC"/>
    <w:rsid w:val="000B769C"/>
    <w:rsid w:val="000C3465"/>
    <w:rsid w:val="000C5B4D"/>
    <w:rsid w:val="000C5E73"/>
    <w:rsid w:val="000F0298"/>
    <w:rsid w:val="000F3795"/>
    <w:rsid w:val="000F3BF2"/>
    <w:rsid w:val="00102A28"/>
    <w:rsid w:val="001138C1"/>
    <w:rsid w:val="00140FD0"/>
    <w:rsid w:val="00165C1C"/>
    <w:rsid w:val="00173D1D"/>
    <w:rsid w:val="00185640"/>
    <w:rsid w:val="001910A3"/>
    <w:rsid w:val="00196FDD"/>
    <w:rsid w:val="001A3AA0"/>
    <w:rsid w:val="001A500E"/>
    <w:rsid w:val="001B04DF"/>
    <w:rsid w:val="001B3A38"/>
    <w:rsid w:val="001B7EF1"/>
    <w:rsid w:val="001C0FFA"/>
    <w:rsid w:val="001C6D83"/>
    <w:rsid w:val="001D52C3"/>
    <w:rsid w:val="001F0960"/>
    <w:rsid w:val="001F1C7D"/>
    <w:rsid w:val="00226249"/>
    <w:rsid w:val="00234A48"/>
    <w:rsid w:val="00240C73"/>
    <w:rsid w:val="002459F1"/>
    <w:rsid w:val="00252933"/>
    <w:rsid w:val="002575CE"/>
    <w:rsid w:val="00260CEC"/>
    <w:rsid w:val="00280477"/>
    <w:rsid w:val="00281EC0"/>
    <w:rsid w:val="00295BDD"/>
    <w:rsid w:val="002D4307"/>
    <w:rsid w:val="002D6156"/>
    <w:rsid w:val="002F7EF0"/>
    <w:rsid w:val="003032C6"/>
    <w:rsid w:val="00305B9F"/>
    <w:rsid w:val="0033048F"/>
    <w:rsid w:val="00351753"/>
    <w:rsid w:val="00370060"/>
    <w:rsid w:val="003730EB"/>
    <w:rsid w:val="0038456A"/>
    <w:rsid w:val="003B58A1"/>
    <w:rsid w:val="003B5954"/>
    <w:rsid w:val="003C1FEA"/>
    <w:rsid w:val="003D4093"/>
    <w:rsid w:val="0040374F"/>
    <w:rsid w:val="00413220"/>
    <w:rsid w:val="00413E68"/>
    <w:rsid w:val="00415440"/>
    <w:rsid w:val="004168B7"/>
    <w:rsid w:val="00422BD3"/>
    <w:rsid w:val="004351B5"/>
    <w:rsid w:val="0044119C"/>
    <w:rsid w:val="00450288"/>
    <w:rsid w:val="004527BF"/>
    <w:rsid w:val="00473133"/>
    <w:rsid w:val="004B1931"/>
    <w:rsid w:val="004C2CF1"/>
    <w:rsid w:val="004C5FF3"/>
    <w:rsid w:val="004F400D"/>
    <w:rsid w:val="004F516B"/>
    <w:rsid w:val="005037FB"/>
    <w:rsid w:val="00545BC5"/>
    <w:rsid w:val="00552F67"/>
    <w:rsid w:val="00570713"/>
    <w:rsid w:val="00577781"/>
    <w:rsid w:val="00591946"/>
    <w:rsid w:val="00593ADB"/>
    <w:rsid w:val="005978D7"/>
    <w:rsid w:val="005E1F3E"/>
    <w:rsid w:val="005E2244"/>
    <w:rsid w:val="005F7187"/>
    <w:rsid w:val="006178B7"/>
    <w:rsid w:val="006316A1"/>
    <w:rsid w:val="006368B5"/>
    <w:rsid w:val="00640D1A"/>
    <w:rsid w:val="00650174"/>
    <w:rsid w:val="00650C1F"/>
    <w:rsid w:val="00656FE5"/>
    <w:rsid w:val="00671862"/>
    <w:rsid w:val="00672246"/>
    <w:rsid w:val="00681C92"/>
    <w:rsid w:val="006D47ED"/>
    <w:rsid w:val="006E0A5E"/>
    <w:rsid w:val="006E1ACD"/>
    <w:rsid w:val="006F0C36"/>
    <w:rsid w:val="006F1368"/>
    <w:rsid w:val="006F6CB2"/>
    <w:rsid w:val="00701EC6"/>
    <w:rsid w:val="00704C46"/>
    <w:rsid w:val="00724F4A"/>
    <w:rsid w:val="00730319"/>
    <w:rsid w:val="007308B8"/>
    <w:rsid w:val="00747A6C"/>
    <w:rsid w:val="007500D5"/>
    <w:rsid w:val="0075102E"/>
    <w:rsid w:val="00751C81"/>
    <w:rsid w:val="00784455"/>
    <w:rsid w:val="00787D2A"/>
    <w:rsid w:val="007915B4"/>
    <w:rsid w:val="00792A73"/>
    <w:rsid w:val="00792EA1"/>
    <w:rsid w:val="007B6E82"/>
    <w:rsid w:val="007D5721"/>
    <w:rsid w:val="007D6B7A"/>
    <w:rsid w:val="007E155C"/>
    <w:rsid w:val="007F05C9"/>
    <w:rsid w:val="007F3628"/>
    <w:rsid w:val="00800DCC"/>
    <w:rsid w:val="00802C8C"/>
    <w:rsid w:val="00825375"/>
    <w:rsid w:val="008307CA"/>
    <w:rsid w:val="008545A2"/>
    <w:rsid w:val="00854F87"/>
    <w:rsid w:val="008645A4"/>
    <w:rsid w:val="00867E08"/>
    <w:rsid w:val="008801F0"/>
    <w:rsid w:val="0089303A"/>
    <w:rsid w:val="008D1D73"/>
    <w:rsid w:val="008E2AF6"/>
    <w:rsid w:val="008F69D6"/>
    <w:rsid w:val="009202B5"/>
    <w:rsid w:val="009375B2"/>
    <w:rsid w:val="00953701"/>
    <w:rsid w:val="0095797D"/>
    <w:rsid w:val="00962D6E"/>
    <w:rsid w:val="00972E55"/>
    <w:rsid w:val="00974FE3"/>
    <w:rsid w:val="0097577D"/>
    <w:rsid w:val="00977C11"/>
    <w:rsid w:val="00977E7F"/>
    <w:rsid w:val="00996373"/>
    <w:rsid w:val="009A2605"/>
    <w:rsid w:val="009A4EAD"/>
    <w:rsid w:val="009B70FF"/>
    <w:rsid w:val="009C23D1"/>
    <w:rsid w:val="009C5CC3"/>
    <w:rsid w:val="009E0DF2"/>
    <w:rsid w:val="009E311E"/>
    <w:rsid w:val="009E4A29"/>
    <w:rsid w:val="009F54AA"/>
    <w:rsid w:val="00A17DD1"/>
    <w:rsid w:val="00A21FD7"/>
    <w:rsid w:val="00A246D3"/>
    <w:rsid w:val="00A277CA"/>
    <w:rsid w:val="00A33AD7"/>
    <w:rsid w:val="00A35FDC"/>
    <w:rsid w:val="00A37265"/>
    <w:rsid w:val="00A423A0"/>
    <w:rsid w:val="00A63DAA"/>
    <w:rsid w:val="00A7798F"/>
    <w:rsid w:val="00A842B2"/>
    <w:rsid w:val="00A960D4"/>
    <w:rsid w:val="00AB3BAE"/>
    <w:rsid w:val="00AE0B3E"/>
    <w:rsid w:val="00AE670E"/>
    <w:rsid w:val="00AE6ADF"/>
    <w:rsid w:val="00AF2BB2"/>
    <w:rsid w:val="00B107E7"/>
    <w:rsid w:val="00B253AD"/>
    <w:rsid w:val="00B35266"/>
    <w:rsid w:val="00B3769A"/>
    <w:rsid w:val="00B57D17"/>
    <w:rsid w:val="00B67B63"/>
    <w:rsid w:val="00B81CA0"/>
    <w:rsid w:val="00B840F9"/>
    <w:rsid w:val="00B84574"/>
    <w:rsid w:val="00B84FF4"/>
    <w:rsid w:val="00B926C6"/>
    <w:rsid w:val="00BA0A91"/>
    <w:rsid w:val="00BB1DCB"/>
    <w:rsid w:val="00BB2E6D"/>
    <w:rsid w:val="00BC0AA2"/>
    <w:rsid w:val="00BC1931"/>
    <w:rsid w:val="00BD2930"/>
    <w:rsid w:val="00BE1656"/>
    <w:rsid w:val="00BE1EE4"/>
    <w:rsid w:val="00BF75FB"/>
    <w:rsid w:val="00C045D1"/>
    <w:rsid w:val="00C12772"/>
    <w:rsid w:val="00C21994"/>
    <w:rsid w:val="00C24532"/>
    <w:rsid w:val="00C43841"/>
    <w:rsid w:val="00C8172D"/>
    <w:rsid w:val="00C90778"/>
    <w:rsid w:val="00C92424"/>
    <w:rsid w:val="00CA2EDE"/>
    <w:rsid w:val="00CD5388"/>
    <w:rsid w:val="00CD5A4D"/>
    <w:rsid w:val="00CF0617"/>
    <w:rsid w:val="00CF216B"/>
    <w:rsid w:val="00D06030"/>
    <w:rsid w:val="00D113EA"/>
    <w:rsid w:val="00D24256"/>
    <w:rsid w:val="00D4001D"/>
    <w:rsid w:val="00D4100F"/>
    <w:rsid w:val="00D41D84"/>
    <w:rsid w:val="00D566F4"/>
    <w:rsid w:val="00D72127"/>
    <w:rsid w:val="00D824F3"/>
    <w:rsid w:val="00D91286"/>
    <w:rsid w:val="00DC30B4"/>
    <w:rsid w:val="00DD1147"/>
    <w:rsid w:val="00DD4BD5"/>
    <w:rsid w:val="00DE34DB"/>
    <w:rsid w:val="00DE44E4"/>
    <w:rsid w:val="00E02AB6"/>
    <w:rsid w:val="00E34F49"/>
    <w:rsid w:val="00E40152"/>
    <w:rsid w:val="00E43357"/>
    <w:rsid w:val="00E60BDA"/>
    <w:rsid w:val="00E666BE"/>
    <w:rsid w:val="00E72C65"/>
    <w:rsid w:val="00EA049F"/>
    <w:rsid w:val="00EA5B66"/>
    <w:rsid w:val="00EB51DA"/>
    <w:rsid w:val="00ED11FB"/>
    <w:rsid w:val="00ED55B6"/>
    <w:rsid w:val="00ED62CE"/>
    <w:rsid w:val="00EE6157"/>
    <w:rsid w:val="00EF7F5F"/>
    <w:rsid w:val="00F04337"/>
    <w:rsid w:val="00F11839"/>
    <w:rsid w:val="00F11A23"/>
    <w:rsid w:val="00F23796"/>
    <w:rsid w:val="00F41803"/>
    <w:rsid w:val="00FB689C"/>
    <w:rsid w:val="00FD22E9"/>
    <w:rsid w:val="00FD57D2"/>
    <w:rsid w:val="00FE12A7"/>
    <w:rsid w:val="00FE2E39"/>
    <w:rsid w:val="00FE5684"/>
    <w:rsid w:val="00FE6778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85640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tnotetekstTegn"/>
    <w:uiPriority w:val="99"/>
    <w:rsid w:val="009C23D1"/>
    <w:rPr>
      <w:sz w:val="20"/>
    </w:rPr>
  </w:style>
  <w:style w:type="character" w:customStyle="1" w:styleId="FotnotetekstTegn">
    <w:name w:val="Fotnotetekst Tegn"/>
    <w:basedOn w:val="DefaultParagraphFont"/>
    <w:link w:val="FootnoteText"/>
    <w:uiPriority w:val="99"/>
    <w:rsid w:val="009C23D1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rsid w:val="009C23D1"/>
    <w:rPr>
      <w:vertAlign w:val="superscript"/>
    </w:rPr>
  </w:style>
  <w:style w:type="table" w:styleId="GridTable4">
    <w:name w:val="Grid Table 4"/>
    <w:basedOn w:val="TableNormal"/>
    <w:uiPriority w:val="49"/>
    <w:rsid w:val="00AF2B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rsid w:val="00A17DD1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rsid w:val="00A17DD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9A4EAD"/>
    <w:rPr>
      <w:b/>
      <w:bCs/>
      <w:sz w:val="20"/>
    </w:rPr>
  </w:style>
  <w:style w:type="character" w:customStyle="1" w:styleId="Ulstomtale2">
    <w:name w:val="Uløst omtale2"/>
    <w:basedOn w:val="DefaultParagraphFont"/>
    <w:rsid w:val="00F04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43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34DB"/>
    <w:pPr>
      <w:spacing w:after="260" w:line="259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rbeidstilsynet.no/hms/avvik-og-avvikshandtering/" TargetMode="External" /><Relationship Id="rId11" Type="http://schemas.openxmlformats.org/officeDocument/2006/relationships/hyperlink" Target="https://tronder.sharepoint.com/sites/intranett/Styrendedok/Struktur for styrende dokumenter/Rutine for varsling av kritikkverdige forhold.pdf" TargetMode="External" /><Relationship Id="rId12" Type="http://schemas.openxmlformats.org/officeDocument/2006/relationships/hyperlink" Target="https://lovdata.no/forskrift/2019-07-11-1005" TargetMode="External" /><Relationship Id="rId13" Type="http://schemas.openxmlformats.org/officeDocument/2006/relationships/hyperlink" Target="https://lovdata.no/dokument/SF/forskrift/2021-06-30-2379?q=forskrift%20om%20h%C3%B8yere%20yrkesfaglig%20utdanning" TargetMode="External" /><Relationship Id="rId14" Type="http://schemas.openxmlformats.org/officeDocument/2006/relationships/hyperlink" Target="https://lovdata.no/dokument/NL/lov/2018-06-08-28" TargetMode="External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footer" Target="footer1.xml" /><Relationship Id="rId18" Type="http://schemas.openxmlformats.org/officeDocument/2006/relationships/image" Target="media/image3.png" /><Relationship Id="rId19" Type="http://schemas.openxmlformats.org/officeDocument/2006/relationships/image" Target="media/image4.png" /><Relationship Id="rId2" Type="http://schemas.openxmlformats.org/officeDocument/2006/relationships/webSettings" Target="webSettings.xml" /><Relationship Id="rId20" Type="http://schemas.openxmlformats.org/officeDocument/2006/relationships/image" Target="media/image5.png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thyf-ekstern.dkhosting.no/docs/pub/DOK00165.pdf" TargetMode="External" /><Relationship Id="rId8" Type="http://schemas.openxmlformats.org/officeDocument/2006/relationships/hyperlink" Target="https://thyf-ekstern.dkhosting.no/docs/pub/DOK00140.pdf" TargetMode="External" /><Relationship Id="rId9" Type="http://schemas.openxmlformats.org/officeDocument/2006/relationships/hyperlink" Target="https://standards.dnv.com/explorer/document/F63D7FA6C45F460DA09A0DBEFB1C4C1F/4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C89B-2593-49B0-B677-61C90A5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1248</TotalTime>
  <Pages>5</Pages>
  <Words>1121</Words>
  <Characters>5944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 forbedringsforslag, avvik, observasjoner og andre uønskede hendelser.</vt:lpstr>
      <vt:lpstr>	</vt:lpstr>
    </vt:vector>
  </TitlesOfParts>
  <Company>Datakvalitet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 forbedringsforslag, avvik, observasjoner og andre uønskede hendelser.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62</cp:revision>
  <cp:lastPrinted>2023-03-24T09:26:00Z</cp:lastPrinted>
  <dcterms:created xsi:type="dcterms:W3CDTF">2020-01-20T07:07:00Z</dcterms:created>
  <dcterms:modified xsi:type="dcterms:W3CDTF">2024-06-03T06:10:00Z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Melde forbedringsforslag, avvik, observasjoner og andre uønskede hendelser.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03.06.2024</vt:lpwstr>
  </property>
  <property fmtid="{D5CDD505-2E9C-101B-9397-08002B2CF9AE}" pid="7" name="EK_RefNr">
    <vt:lpwstr>1.3.2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7.00</vt:lpwstr>
  </property>
  <property fmtid="{D5CDD505-2E9C-101B-9397-08002B2CF9AE}" pid="11" name="EK_Watermark">
    <vt:lpwstr>Vannmerke</vt:lpwstr>
  </property>
  <property fmtid="{D5CDD505-2E9C-101B-9397-08002B2CF9AE}" pid="12" name="XD00140">
    <vt:lpwstr>1.3.5</vt:lpwstr>
  </property>
  <property fmtid="{D5CDD505-2E9C-101B-9397-08002B2CF9AE}" pid="13" name="XD00165">
    <vt:lpwstr>1.2.3</vt:lpwstr>
  </property>
  <property fmtid="{D5CDD505-2E9C-101B-9397-08002B2CF9AE}" pid="14" name="XD00254">
    <vt:lpwstr>3.2.5</vt:lpwstr>
  </property>
  <property fmtid="{D5CDD505-2E9C-101B-9397-08002B2CF9AE}" pid="15" name="XDF00140">
    <vt:lpwstr>Melde inn klage ved THYF</vt:lpwstr>
  </property>
  <property fmtid="{D5CDD505-2E9C-101B-9397-08002B2CF9AE}" pid="16" name="XDF00165">
    <vt:lpwstr>Kapittel 2.1 Ledelsens ansvar</vt:lpwstr>
  </property>
  <property fmtid="{D5CDD505-2E9C-101B-9397-08002B2CF9AE}" pid="17" name="XDF00254">
    <vt:lpwstr>Klage på vurdering av arbeidskrav</vt:lpwstr>
  </property>
  <property fmtid="{D5CDD505-2E9C-101B-9397-08002B2CF9AE}" pid="18" name="XDL00140">
    <vt:lpwstr>1.3.5 Melde inn klage ved THYF</vt:lpwstr>
  </property>
  <property fmtid="{D5CDD505-2E9C-101B-9397-08002B2CF9AE}" pid="19" name="XDL00165">
    <vt:lpwstr>1.2.3 Kapittel 2.1 Ledelsens ansvar</vt:lpwstr>
  </property>
  <property fmtid="{D5CDD505-2E9C-101B-9397-08002B2CF9AE}" pid="20" name="XDL00254">
    <vt:lpwstr>3.2.5 Klage på vurdering av arbeidskrav</vt:lpwstr>
  </property>
  <property fmtid="{D5CDD505-2E9C-101B-9397-08002B2CF9AE}" pid="21" name="XDT00140">
    <vt:lpwstr>Melde inn klage ved THYF</vt:lpwstr>
  </property>
  <property fmtid="{D5CDD505-2E9C-101B-9397-08002B2CF9AE}" pid="22" name="XDT00165">
    <vt:lpwstr>Kapittel 2.1 Ledelsens ansvar</vt:lpwstr>
  </property>
  <property fmtid="{D5CDD505-2E9C-101B-9397-08002B2CF9AE}" pid="23" name="XDT00254">
    <vt:lpwstr>Klage på vurdering av arbeidskrav</vt:lpwstr>
  </property>
  <property fmtid="{D5CDD505-2E9C-101B-9397-08002B2CF9AE}" pid="24" name="XR00120">
    <vt:lpwstr>15505</vt:lpwstr>
  </property>
  <property fmtid="{D5CDD505-2E9C-101B-9397-08002B2CF9AE}" pid="25" name="XR00121">
    <vt:lpwstr>15506</vt:lpwstr>
  </property>
  <property fmtid="{D5CDD505-2E9C-101B-9397-08002B2CF9AE}" pid="26" name="XR00124">
    <vt:lpwstr>.18</vt:lpwstr>
  </property>
  <property fmtid="{D5CDD505-2E9C-101B-9397-08002B2CF9AE}" pid="27" name="XR00148">
    <vt:lpwstr>.22.3</vt:lpwstr>
  </property>
  <property fmtid="{D5CDD505-2E9C-101B-9397-08002B2CF9AE}" pid="28" name="XR00161">
    <vt:lpwstr>.18.1.1</vt:lpwstr>
  </property>
  <property fmtid="{D5CDD505-2E9C-101B-9397-08002B2CF9AE}" pid="29" name="XR00162">
    <vt:lpwstr>.18.1.2</vt:lpwstr>
  </property>
  <property fmtid="{D5CDD505-2E9C-101B-9397-08002B2CF9AE}" pid="30" name="XR00163">
    <vt:lpwstr>.18.1.3</vt:lpwstr>
  </property>
  <property fmtid="{D5CDD505-2E9C-101B-9397-08002B2CF9AE}" pid="31" name="XRF00120">
    <vt:lpwstr>Arbeidstilsynet om avvik</vt:lpwstr>
  </property>
  <property fmtid="{D5CDD505-2E9C-101B-9397-08002B2CF9AE}" pid="32" name="XRF00121">
    <vt:lpwstr>Rutine for varsling av kritikkverdige forhold i Trøndelag fylkeskommune</vt:lpwstr>
  </property>
  <property fmtid="{D5CDD505-2E9C-101B-9397-08002B2CF9AE}" pid="33" name="XRF00124">
    <vt:lpwstr>Forskrift om høyere yrkesfaglig utdanning (FOR-2019-07-11-1005)</vt:lpwstr>
  </property>
  <property fmtid="{D5CDD505-2E9C-101B-9397-08002B2CF9AE}" pid="34" name="XRF00148">
    <vt:lpwstr>DNV-ST-0029-MTP, Section 3 Management</vt:lpwstr>
  </property>
  <property fmtid="{D5CDD505-2E9C-101B-9397-08002B2CF9AE}" pid="35" name="XRF00161">
    <vt:lpwstr>LOV-2018-06-08-28 Lov om høyere yrkesfaglig utdanning (fagskoleloven)</vt:lpwstr>
  </property>
  <property fmtid="{D5CDD505-2E9C-101B-9397-08002B2CF9AE}" pid="36" name="XRF00162">
    <vt:lpwstr>FOR-2019-07-11-1005 Forskrift om høyere yrkesfaglig utdanning (fagskoleforskriften)</vt:lpwstr>
  </property>
  <property fmtid="{D5CDD505-2E9C-101B-9397-08002B2CF9AE}" pid="37" name="XRF00163">
    <vt:lpwstr>FOR-2021-06-30-2379 Forskrift om høyere yrkesfaglig utdanning ved Trøndelag høyere yrkesfagskole</vt:lpwstr>
  </property>
  <property fmtid="{D5CDD505-2E9C-101B-9397-08002B2CF9AE}" pid="38" name="XRL00120">
    <vt:lpwstr>15505 Arbeidstilsynet om avvik</vt:lpwstr>
  </property>
  <property fmtid="{D5CDD505-2E9C-101B-9397-08002B2CF9AE}" pid="39" name="XRL00121">
    <vt:lpwstr>15506 Rutine for varsling av kritikkverdige forhold i Trøndelag fylkeskommune</vt:lpwstr>
  </property>
  <property fmtid="{D5CDD505-2E9C-101B-9397-08002B2CF9AE}" pid="40" name="XRL00124">
    <vt:lpwstr>.18 Forskrift om høyere yrkesfaglig utdanning (FOR-2019-07-11-1005)</vt:lpwstr>
  </property>
  <property fmtid="{D5CDD505-2E9C-101B-9397-08002B2CF9AE}" pid="41" name="XRL00148">
    <vt:lpwstr>.22.3 DNV-ST-0029-MTP, Section 3 Management</vt:lpwstr>
  </property>
  <property fmtid="{D5CDD505-2E9C-101B-9397-08002B2CF9AE}" pid="42" name="XRL00161">
    <vt:lpwstr>.18.1.1 LOV-2018-06-08-28 Lov om høyere yrkesfaglig utdanning (fagskoleloven)</vt:lpwstr>
  </property>
  <property fmtid="{D5CDD505-2E9C-101B-9397-08002B2CF9AE}" pid="43" name="XRL00162">
    <vt:lpwstr>.18.1.2 FOR-2019-07-11-1005 Forskrift om høyere yrkesfaglig utdanning (fagskoleforskriften)</vt:lpwstr>
  </property>
  <property fmtid="{D5CDD505-2E9C-101B-9397-08002B2CF9AE}" pid="44" name="XRL00163">
    <vt:lpwstr>.18.1.3 FOR-2021-06-30-2379 Forskrift om høyere yrkesfaglig utdanning ved Trøndelag høyere yrkesfagskole</vt:lpwstr>
  </property>
  <property fmtid="{D5CDD505-2E9C-101B-9397-08002B2CF9AE}" pid="45" name="XRT00120">
    <vt:lpwstr>Arbeidstilsynet om avvik</vt:lpwstr>
  </property>
  <property fmtid="{D5CDD505-2E9C-101B-9397-08002B2CF9AE}" pid="46" name="XRT00121">
    <vt:lpwstr>Rutine for varsling av kritikkverdige forhold i Trøndelag fylkeskommune</vt:lpwstr>
  </property>
  <property fmtid="{D5CDD505-2E9C-101B-9397-08002B2CF9AE}" pid="47" name="XRT00124">
    <vt:lpwstr>Forskrift om høyere yrkesfaglig utdanning (FOR-2019-07-11-1005)</vt:lpwstr>
  </property>
  <property fmtid="{D5CDD505-2E9C-101B-9397-08002B2CF9AE}" pid="48" name="XRT00148">
    <vt:lpwstr>DNV-ST-0029-MTP, Section 3 Management</vt:lpwstr>
  </property>
  <property fmtid="{D5CDD505-2E9C-101B-9397-08002B2CF9AE}" pid="49" name="XRT00161">
    <vt:lpwstr>LOV-2018-06-08-28 Lov om høyere yrkesfaglig utdanning (fagskoleloven)</vt:lpwstr>
  </property>
  <property fmtid="{D5CDD505-2E9C-101B-9397-08002B2CF9AE}" pid="50" name="XRT00162">
    <vt:lpwstr>FOR-2019-07-11-1005 Forskrift om høyere yrkesfaglig utdanning (fagskoleforskriften)</vt:lpwstr>
  </property>
  <property fmtid="{D5CDD505-2E9C-101B-9397-08002B2CF9AE}" pid="51" name="XRT00163">
    <vt:lpwstr>FOR-2021-06-30-2379 Forskrift om høyere yrkesfaglig utdanning ved Trøndelag høyere yrkesfagskole</vt:lpwstr>
  </property>
</Properties>
</file>