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oxmlPackage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1276"/>
        <w:gridCol w:w="1134"/>
        <w:gridCol w:w="2126"/>
      </w:tblGrid>
      <w:tr w14:paraId="02699B59" w14:textId="77777777" w:rsidTr="00FC0A34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1AED972D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6.6pt">
                  <v:imagedata r:id="rId5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5BA1FE2A" w14:textId="77777777">
            <w:pPr>
              <w:spacing w:before="180" w:after="120"/>
              <w:rPr>
                <w:szCs w:val="18"/>
              </w:rPr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3.7.1</w:t>
            </w:r>
            <w:r w:rsidRPr="00CF0617">
              <w:rPr>
                <w:szCs w:val="18"/>
              </w:rPr>
              <w:fldChar w:fldCharType="end"/>
            </w:r>
          </w:p>
          <w:p w:rsidR="00FC0A34" w:rsidRPr="00FC0A34" w:rsidP="00FC0A34" w14:paraId="02699B58" w14:textId="5999AF50">
            <w:pPr>
              <w:rPr>
                <w:sz w:val="20"/>
              </w:rPr>
            </w:pPr>
            <w:r>
              <w:rPr>
                <w:sz w:val="16"/>
              </w:rPr>
              <w:t>Sidenr</w:t>
            </w:r>
            <w:r>
              <w:rPr>
                <w:sz w:val="16"/>
              </w:rPr>
              <w:t>:</w:t>
            </w:r>
            <w:r>
              <w:rPr>
                <w:sz w:val="20"/>
              </w:rPr>
              <w:t xml:space="preserve">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3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FC0A34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14AAA5E8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Revisjoner og sertifiseringer ved THYF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  <w:r w:rsidR="00D605CE">
              <w:rPr>
                <w:b/>
              </w:rPr>
              <w:t xml:space="preserve"> ved THYF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FC0A34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0.04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Hans Tore Mikkelsen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30.05.2024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C0A34" w:rsidP="00FC0A34" w14:paraId="5B0884EF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:rsidP="00FC0A34" w14:paraId="02699B64" w14:textId="5C685AB0">
            <w:pPr>
              <w:jc w:val="center"/>
              <w:rPr>
                <w:szCs w:val="18"/>
              </w:rPr>
            </w:pPr>
            <w:r>
              <w:fldChar w:fldCharType="begin" w:fldLock="1"/>
            </w:r>
            <w:r>
              <w:instrText>DOCPROPERTY EK_GjelderTil \*charformat \* MERGEFORMAT</w:instrText>
            </w:r>
            <w:r>
              <w:fldChar w:fldCharType="separate"/>
            </w:r>
            <w:r>
              <w:rPr>
                <w:noProof/>
              </w:rPr>
              <w:t>30.05.2025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FC0A34" w:rsidP="00FC0A34" w14:paraId="54F0EBD4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:rsidP="00FC0A34" w14:paraId="02699B66" w14:textId="39940832">
            <w:pPr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Ikke styrt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CD5806" w:rsidP="005C6943" w14:paraId="02699B68" w14:textId="1797D26B">
      <w:pPr>
        <w:spacing w:before="360" w:after="120"/>
        <w:jc w:val="both"/>
        <w:rPr>
          <w:b/>
          <w:bCs/>
          <w:sz w:val="22"/>
          <w:szCs w:val="24"/>
        </w:rPr>
      </w:pPr>
      <w:r w:rsidRPr="00CD5806">
        <w:rPr>
          <w:b/>
          <w:bCs/>
          <w:sz w:val="22"/>
          <w:szCs w:val="24"/>
        </w:rPr>
        <w:t>1. Formål</w:t>
      </w:r>
    </w:p>
    <w:p w:rsidR="006704BA" w:rsidP="006C7DED" w14:paraId="261A9199" w14:textId="73982565">
      <w:pPr>
        <w:spacing w:after="120"/>
        <w:jc w:val="both"/>
      </w:pPr>
      <w:r>
        <w:t xml:space="preserve">Formålet er å sikre at det skjer en gjennomgang av kvalitetsledelsessystemet ved Trøndelag høyere yrkesfagskole (THYF) gjennom regelmessige revisjoner. Regelmessige revisjoner og sertifiseringer skal sikre at </w:t>
      </w:r>
      <w:r w:rsidR="006C7DED">
        <w:t xml:space="preserve">det skjer kontinuerlig </w:t>
      </w:r>
      <w:r>
        <w:t>forbedring av ledelsessystemet og at det er samsvar mellom aktiviteter ved THYF og angitte referanser som er styrende for aktivitetene.</w:t>
      </w:r>
    </w:p>
    <w:p w:rsidR="00CD5806" w:rsidRPr="00CD5806" w:rsidP="006C7DED" w14:paraId="52C25F4F" w14:textId="28188B4C">
      <w:pPr>
        <w:spacing w:before="360" w:after="120"/>
        <w:jc w:val="both"/>
        <w:rPr>
          <w:b/>
          <w:bCs/>
          <w:sz w:val="22"/>
          <w:szCs w:val="24"/>
        </w:rPr>
      </w:pPr>
      <w:r w:rsidRPr="00CD5806">
        <w:rPr>
          <w:b/>
          <w:bCs/>
          <w:sz w:val="22"/>
          <w:szCs w:val="24"/>
        </w:rPr>
        <w:t>2. Målgruppe og omfang</w:t>
      </w:r>
    </w:p>
    <w:p w:rsidR="006704BA" w:rsidP="00BD7BEF" w14:paraId="520B3467" w14:textId="77777777">
      <w:pPr>
        <w:spacing w:after="120"/>
        <w:jc w:val="both"/>
      </w:pPr>
      <w:r>
        <w:t>Dokumentet beskriver prosesser knyttet til revisjon innenfor utdanninger med krav til sertifisering. Det gjelder for hele THYF og alle ansatte ved THYF hvor kvalitet er knyttet til eget ansvars-, myndighets- og arbeidsområde, jfr. rollebeskrivelser.</w:t>
      </w:r>
    </w:p>
    <w:p w:rsidR="00CD5806" w:rsidRPr="00CD5806" w:rsidP="005C6943" w14:paraId="037C7894" w14:textId="1945E06A">
      <w:pPr>
        <w:spacing w:before="360" w:after="120"/>
        <w:jc w:val="both"/>
        <w:rPr>
          <w:b/>
          <w:bCs/>
          <w:sz w:val="22"/>
          <w:szCs w:val="24"/>
        </w:rPr>
      </w:pPr>
      <w:r w:rsidRPr="00CD5806">
        <w:rPr>
          <w:b/>
          <w:bCs/>
          <w:sz w:val="22"/>
          <w:szCs w:val="24"/>
        </w:rPr>
        <w:t xml:space="preserve">3. </w:t>
      </w:r>
      <w:r w:rsidR="006C7DED">
        <w:rPr>
          <w:b/>
          <w:bCs/>
          <w:sz w:val="22"/>
          <w:szCs w:val="24"/>
        </w:rPr>
        <w:t>Forklaring av begreper i dokumentet</w:t>
      </w:r>
    </w:p>
    <w:p w:rsidR="006704BA" w:rsidP="006704BA" w14:paraId="6A29274B" w14:textId="77777777">
      <w:pPr>
        <w:spacing w:before="120" w:after="240"/>
        <w:jc w:val="both"/>
      </w:pPr>
      <w:r>
        <w:t>Følgende begreper er definert:</w:t>
      </w:r>
    </w:p>
    <w:tbl>
      <w:tblPr>
        <w:tblW w:w="0" w:type="auto"/>
        <w:tblLook w:val="04A0"/>
      </w:tblPr>
      <w:tblGrid>
        <w:gridCol w:w="1930"/>
        <w:gridCol w:w="7357"/>
      </w:tblGrid>
      <w:tr w14:paraId="2C99559A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47D5635A" w14:textId="77777777">
            <w:pPr>
              <w:spacing w:after="120"/>
              <w:contextualSpacing/>
              <w:jc w:val="both"/>
            </w:pPr>
            <w:r>
              <w:t>Revisor: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60515E3E" w14:textId="77777777">
            <w:pPr>
              <w:spacing w:after="120"/>
              <w:contextualSpacing/>
              <w:jc w:val="both"/>
            </w:pPr>
            <w:r>
              <w:t>Den som utfører en revisjon</w:t>
            </w:r>
          </w:p>
        </w:tc>
      </w:tr>
      <w:tr w14:paraId="4AC3A11F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1175D010" w14:textId="77777777">
            <w:pPr>
              <w:spacing w:after="120"/>
              <w:contextualSpacing/>
              <w:jc w:val="both"/>
            </w:pPr>
            <w:r>
              <w:t>Revisjon: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6FBBA47E" w14:textId="77777777">
            <w:pPr>
              <w:spacing w:after="120"/>
              <w:contextualSpacing/>
              <w:jc w:val="both"/>
            </w:pPr>
            <w:r>
              <w:t xml:space="preserve">Systematisk, uavhengig og dokumentert prosess for å skaffe og vurdere bevis for i hvilken grad krav eller samling av krav er oppfylt (samsvar). </w:t>
            </w:r>
          </w:p>
          <w:p w:rsidR="006704BA" w:rsidP="002575CB" w14:paraId="0CA255D6" w14:textId="77777777">
            <w:pPr>
              <w:spacing w:after="120"/>
              <w:contextualSpacing/>
              <w:jc w:val="both"/>
            </w:pPr>
            <w:r>
              <w:t>Eksempler på krav kan være policyer, prosedyrer, lovmessige krav, kontraktskrav osv.</w:t>
            </w:r>
          </w:p>
        </w:tc>
      </w:tr>
      <w:tr w14:paraId="65BDECE7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4E090CCF" w14:textId="77777777">
            <w:pPr>
              <w:spacing w:after="120"/>
              <w:contextualSpacing/>
              <w:jc w:val="both"/>
            </w:pPr>
            <w:r>
              <w:t>Observatør: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4C3D4647" w14:textId="77777777">
            <w:pPr>
              <w:spacing w:after="120"/>
              <w:contextualSpacing/>
              <w:jc w:val="both"/>
            </w:pPr>
            <w:r>
              <w:t>Person som følger revisor eller revisjonslag, men fungerer ikke som revisor.</w:t>
            </w:r>
          </w:p>
        </w:tc>
      </w:tr>
      <w:tr w14:paraId="3990B936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42365553" w14:textId="77777777">
            <w:pPr>
              <w:spacing w:after="120"/>
              <w:contextualSpacing/>
              <w:jc w:val="both"/>
            </w:pPr>
            <w:r>
              <w:t>Avvik: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39743136" w14:textId="77777777">
            <w:pPr>
              <w:spacing w:after="120"/>
              <w:contextualSpacing/>
              <w:jc w:val="both"/>
            </w:pPr>
            <w:r>
              <w:t>Manglende oppfyllelse av et krav.</w:t>
            </w:r>
          </w:p>
        </w:tc>
      </w:tr>
      <w:tr w14:paraId="1A5D6DB2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001E293C" w14:textId="77777777">
            <w:pPr>
              <w:spacing w:after="120"/>
              <w:contextualSpacing/>
              <w:jc w:val="both"/>
            </w:pPr>
            <w:r>
              <w:t>Revisjonsprogram: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20208365" w14:textId="77777777">
            <w:pPr>
              <w:spacing w:after="120"/>
              <w:contextualSpacing/>
              <w:jc w:val="both"/>
            </w:pPr>
            <w:r>
              <w:t>Samling av en eller flere revisjoner som er planlagt for en fastsatt periode og som har ett angitt formål, f.eks. sertifisering eller opprettholde sertifikater.</w:t>
            </w:r>
          </w:p>
        </w:tc>
      </w:tr>
      <w:tr w14:paraId="21A091DE" w14:textId="77777777" w:rsidTr="002575CB">
        <w:tblPrEx>
          <w:tblW w:w="0" w:type="auto"/>
          <w:tblLook w:val="04A0"/>
        </w:tblPrEx>
        <w:tc>
          <w:tcPr>
            <w:tcW w:w="1930" w:type="dxa"/>
            <w:shd w:val="clear" w:color="auto" w:fill="auto"/>
          </w:tcPr>
          <w:p w:rsidR="006704BA" w:rsidP="002575CB" w14:paraId="0D4609C7" w14:textId="77777777">
            <w:pPr>
              <w:spacing w:after="120"/>
              <w:contextualSpacing/>
              <w:jc w:val="both"/>
            </w:pPr>
            <w:r>
              <w:t>Revisjonsplan:</w:t>
            </w:r>
          </w:p>
        </w:tc>
        <w:tc>
          <w:tcPr>
            <w:tcW w:w="7357" w:type="dxa"/>
            <w:shd w:val="clear" w:color="auto" w:fill="auto"/>
          </w:tcPr>
          <w:p w:rsidR="006704BA" w:rsidP="002575CB" w14:paraId="52F1CF0A" w14:textId="77777777">
            <w:pPr>
              <w:spacing w:after="120"/>
              <w:contextualSpacing/>
              <w:jc w:val="both"/>
            </w:pPr>
            <w:r>
              <w:t xml:space="preserve">Oppsett eller oversikt som beskriver aktiviteter og ordninger knyttet til en revisjon. </w:t>
            </w:r>
          </w:p>
        </w:tc>
      </w:tr>
    </w:tbl>
    <w:p w:rsidR="00CD5806" w:rsidRPr="00CD5806" w:rsidP="005C6943" w14:paraId="74B7EC02" w14:textId="581FBA87">
      <w:pPr>
        <w:spacing w:before="360" w:after="120"/>
        <w:jc w:val="both"/>
        <w:rPr>
          <w:b/>
          <w:bCs/>
          <w:sz w:val="22"/>
          <w:szCs w:val="24"/>
        </w:rPr>
      </w:pPr>
      <w:r w:rsidRPr="00CD5806">
        <w:rPr>
          <w:b/>
          <w:bCs/>
          <w:sz w:val="22"/>
          <w:szCs w:val="24"/>
        </w:rPr>
        <w:t>4. Ansvar og myndighet</w:t>
      </w:r>
    </w:p>
    <w:p w:rsidR="006C7DED" w:rsidP="006C7DED" w14:paraId="25F4E2BD" w14:textId="77777777">
      <w:pPr>
        <w:spacing w:after="120"/>
        <w:jc w:val="both"/>
      </w:pPr>
      <w:r>
        <w:t>Rektor har hovedansvaret for at revisjoner følges opp.</w:t>
      </w:r>
    </w:p>
    <w:p w:rsidR="006704BA" w:rsidP="006C7DED" w14:paraId="615DACDE" w14:textId="258A5285">
      <w:pPr>
        <w:spacing w:after="120"/>
        <w:jc w:val="both"/>
      </w:pPr>
      <w:r>
        <w:t xml:space="preserve">Kvalitetsrådgiver </w:t>
      </w:r>
      <w:r w:rsidR="009850D7">
        <w:t>er bemyndiget av rektor til å planlegge, ta initiativ til samt følge opp revisjoner.</w:t>
      </w:r>
    </w:p>
    <w:p w:rsidR="001C0FFA" w:rsidRPr="00CD5806" w:rsidP="005C6943" w14:paraId="02699B6B" w14:textId="77A1BFCD">
      <w:pPr>
        <w:spacing w:before="360" w:after="120"/>
        <w:jc w:val="both"/>
        <w:rPr>
          <w:b/>
          <w:bCs/>
          <w:sz w:val="22"/>
          <w:szCs w:val="22"/>
        </w:rPr>
      </w:pPr>
      <w:r w:rsidRPr="00CD5806">
        <w:rPr>
          <w:b/>
          <w:bCs/>
          <w:sz w:val="22"/>
          <w:szCs w:val="22"/>
        </w:rPr>
        <w:t>5. Beskrivelse</w:t>
      </w:r>
    </w:p>
    <w:p w:rsidR="003150CA" w:rsidP="00E86934" w14:paraId="04CEE177" w14:textId="6317EDBB">
      <w:pPr>
        <w:pStyle w:val="Caption"/>
        <w:jc w:val="both"/>
        <w:rPr>
          <w:i w:val="0"/>
          <w:iCs/>
        </w:rPr>
      </w:pPr>
      <w:r w:rsidRPr="003150CA">
        <w:rPr>
          <w:i w:val="0"/>
          <w:iCs/>
        </w:rPr>
        <w:fldChar w:fldCharType="begin"/>
      </w:r>
      <w:r w:rsidRPr="003150CA">
        <w:rPr>
          <w:i w:val="0"/>
          <w:iCs/>
        </w:rPr>
        <w:instrText xml:space="preserve"> REF _Ref139282018 \h </w:instrText>
      </w:r>
      <w:r>
        <w:rPr>
          <w:i w:val="0"/>
          <w:iCs/>
        </w:rPr>
        <w:instrText xml:space="preserve"> \* MERGEFORMAT </w:instrText>
      </w:r>
      <w:r w:rsidRPr="003150CA">
        <w:rPr>
          <w:i w:val="0"/>
          <w:iCs/>
        </w:rPr>
        <w:fldChar w:fldCharType="separate"/>
      </w:r>
      <w:r w:rsidRPr="003150CA">
        <w:rPr>
          <w:i w:val="0"/>
          <w:iCs/>
        </w:rPr>
        <w:t xml:space="preserve">Tabell </w:t>
      </w:r>
      <w:r w:rsidRPr="003150CA">
        <w:rPr>
          <w:i w:val="0"/>
          <w:iCs/>
          <w:noProof/>
        </w:rPr>
        <w:t>1</w:t>
      </w:r>
      <w:r w:rsidRPr="003150CA">
        <w:rPr>
          <w:i w:val="0"/>
          <w:iCs/>
        </w:rPr>
        <w:fldChar w:fldCharType="end"/>
      </w:r>
      <w:r w:rsidRPr="003150CA">
        <w:rPr>
          <w:i w:val="0"/>
          <w:iCs/>
        </w:rPr>
        <w:t xml:space="preserve"> gir en oversikt over revisjonsprogram for sertifiserte utdanninger ved THYF.</w:t>
      </w:r>
      <w:r>
        <w:rPr>
          <w:i w:val="0"/>
          <w:iCs/>
        </w:rPr>
        <w:t xml:space="preserve"> </w:t>
      </w:r>
      <w:r w:rsidR="00E86934">
        <w:rPr>
          <w:i w:val="0"/>
          <w:iCs/>
        </w:rPr>
        <w:t>Revisjonene listet opp her utføres av tredje part, dvs. av representant for sertifiseringsorgan eller myndighet.</w:t>
      </w:r>
    </w:p>
    <w:p w:rsidR="003150CA" w:rsidP="00E86934" w14:paraId="5CB37CAD" w14:textId="77777777">
      <w:pPr>
        <w:pStyle w:val="Caption"/>
        <w:jc w:val="both"/>
        <w:rPr>
          <w:i w:val="0"/>
          <w:iCs/>
        </w:rPr>
      </w:pPr>
    </w:p>
    <w:p w:rsidR="006704BA" w:rsidRPr="003150CA" w:rsidP="00E86934" w14:paraId="670F07BB" w14:textId="7B6B5B8B">
      <w:pPr>
        <w:pStyle w:val="Caption"/>
        <w:jc w:val="both"/>
        <w:rPr>
          <w:i w:val="0"/>
          <w:iCs/>
        </w:rPr>
      </w:pPr>
      <w:r>
        <w:rPr>
          <w:i w:val="0"/>
          <w:iCs/>
        </w:rPr>
        <w:t xml:space="preserve">I skjema </w:t>
      </w:r>
      <w:r w:rsidRPr="001D4534">
        <w:rPr>
          <w:i w:val="0"/>
          <w:iCs/>
        </w:rPr>
        <w:t xml:space="preserve">5.2.4.1 </w:t>
      </w:r>
      <w:r>
        <w:rPr>
          <w:i w:val="0"/>
          <w:iCs/>
        </w:rPr>
        <w:t xml:space="preserve">fører man inn program og </w:t>
      </w:r>
      <w:r w:rsidR="009850D7">
        <w:rPr>
          <w:i w:val="0"/>
          <w:iCs/>
        </w:rPr>
        <w:t>veiledende</w:t>
      </w:r>
      <w:r w:rsidR="00E86934">
        <w:rPr>
          <w:i w:val="0"/>
          <w:iCs/>
        </w:rPr>
        <w:t xml:space="preserve"> p</w:t>
      </w:r>
      <w:r w:rsidR="009850D7">
        <w:rPr>
          <w:i w:val="0"/>
          <w:iCs/>
        </w:rPr>
        <w:t>lan</w:t>
      </w:r>
      <w:r w:rsidR="00E86934">
        <w:rPr>
          <w:i w:val="0"/>
          <w:iCs/>
        </w:rPr>
        <w:t xml:space="preserve"> for gjennomføring av intern</w:t>
      </w:r>
      <w:r>
        <w:rPr>
          <w:i w:val="0"/>
          <w:iCs/>
        </w:rPr>
        <w:t xml:space="preserve">e og eksterne </w:t>
      </w:r>
      <w:r w:rsidR="00E86934">
        <w:rPr>
          <w:i w:val="0"/>
          <w:iCs/>
        </w:rPr>
        <w:t xml:space="preserve">revisjoner ved THYF. </w:t>
      </w:r>
      <w:r w:rsidR="009850D7">
        <w:rPr>
          <w:i w:val="0"/>
          <w:iCs/>
        </w:rPr>
        <w:t xml:space="preserve">Den veiledende planen er ikke begrensende for valg av temaer under revisjonen. </w:t>
      </w:r>
      <w:r>
        <w:rPr>
          <w:i w:val="0"/>
          <w:iCs/>
        </w:rPr>
        <w:t>Ved de maritime utdanningene gjennomføres i</w:t>
      </w:r>
      <w:r w:rsidR="009850D7">
        <w:rPr>
          <w:i w:val="0"/>
          <w:iCs/>
        </w:rPr>
        <w:t>ntern</w:t>
      </w:r>
      <w:r>
        <w:rPr>
          <w:i w:val="0"/>
          <w:iCs/>
        </w:rPr>
        <w:t xml:space="preserve">e </w:t>
      </w:r>
      <w:r w:rsidR="009850D7">
        <w:rPr>
          <w:i w:val="0"/>
          <w:iCs/>
        </w:rPr>
        <w:t>revisjoner</w:t>
      </w:r>
      <w:r w:rsidR="00E86934">
        <w:rPr>
          <w:i w:val="0"/>
          <w:iCs/>
        </w:rPr>
        <w:t xml:space="preserve"> </w:t>
      </w:r>
      <w:r w:rsidR="009850D7">
        <w:rPr>
          <w:i w:val="0"/>
          <w:iCs/>
        </w:rPr>
        <w:t xml:space="preserve">normalt </w:t>
      </w:r>
      <w:r w:rsidR="00E86934">
        <w:rPr>
          <w:i w:val="0"/>
          <w:iCs/>
        </w:rPr>
        <w:t>av ekstern revisor</w:t>
      </w:r>
      <w:r>
        <w:rPr>
          <w:i w:val="0"/>
          <w:iCs/>
        </w:rPr>
        <w:t>. Internrevisjoner skjer normalt</w:t>
      </w:r>
      <w:r w:rsidR="00E86934">
        <w:rPr>
          <w:i w:val="0"/>
          <w:iCs/>
        </w:rPr>
        <w:t xml:space="preserve"> i forkant </w:t>
      </w:r>
      <w:r>
        <w:rPr>
          <w:i w:val="0"/>
          <w:iCs/>
        </w:rPr>
        <w:t xml:space="preserve">av </w:t>
      </w:r>
      <w:r w:rsidR="00E86934">
        <w:rPr>
          <w:i w:val="0"/>
          <w:iCs/>
        </w:rPr>
        <w:t xml:space="preserve">revisjoner </w:t>
      </w:r>
      <w:r>
        <w:rPr>
          <w:i w:val="0"/>
          <w:iCs/>
        </w:rPr>
        <w:t xml:space="preserve">foretatt av akkrediterings-, sertifiserings- eller godkjenningsorganer, og </w:t>
      </w:r>
      <w:r w:rsidR="00E86934">
        <w:rPr>
          <w:i w:val="0"/>
          <w:iCs/>
        </w:rPr>
        <w:t xml:space="preserve">hvor sertifikat </w:t>
      </w:r>
      <w:r>
        <w:rPr>
          <w:i w:val="0"/>
          <w:iCs/>
        </w:rPr>
        <w:t xml:space="preserve">for en utdanning </w:t>
      </w:r>
      <w:r w:rsidR="00E86934">
        <w:rPr>
          <w:i w:val="0"/>
          <w:iCs/>
        </w:rPr>
        <w:t>skal fornyes eller godkjennes.</w:t>
      </w:r>
      <w:r w:rsidR="009850D7">
        <w:rPr>
          <w:i w:val="0"/>
          <w:iCs/>
        </w:rPr>
        <w:t xml:space="preserve"> </w:t>
      </w:r>
    </w:p>
    <w:p w:rsidR="003150CA" w:rsidP="00E86934" w14:paraId="24A373C0" w14:textId="77777777">
      <w:pPr>
        <w:jc w:val="both"/>
      </w:pPr>
    </w:p>
    <w:p w:rsidR="003150CA" w:rsidP="00E86934" w14:paraId="63F32235" w14:textId="13480174">
      <w:pPr>
        <w:jc w:val="both"/>
      </w:pPr>
      <w:r>
        <w:br w:type="page"/>
      </w:r>
      <w:r>
        <w:t>Noen punkter vedr. planlegging og bestilling av revisjoner</w:t>
      </w:r>
      <w:r w:rsidR="00E86934">
        <w:t>:</w:t>
      </w:r>
    </w:p>
    <w:p w:rsidR="00E86934" w:rsidRPr="003150CA" w:rsidP="00E86934" w14:paraId="2DE165B7" w14:textId="77777777">
      <w:pPr>
        <w:jc w:val="both"/>
      </w:pPr>
    </w:p>
    <w:p w:rsidR="003150CA" w:rsidP="00E86934" w14:paraId="73702686" w14:textId="29943CA1">
      <w:pPr>
        <w:numPr>
          <w:ilvl w:val="0"/>
          <w:numId w:val="4"/>
        </w:numPr>
        <w:jc w:val="both"/>
      </w:pPr>
      <w:r>
        <w:t>Revisjoner foretatt av tredjepart bør bestilles i god tid, normalt 2-3 måneder før revisjonsdato.</w:t>
      </w:r>
    </w:p>
    <w:p w:rsidR="00E86934" w:rsidP="00E86934" w14:paraId="4D704067" w14:textId="172DECC1">
      <w:pPr>
        <w:numPr>
          <w:ilvl w:val="0"/>
          <w:numId w:val="4"/>
        </w:numPr>
        <w:jc w:val="both"/>
      </w:pPr>
      <w:r>
        <w:t>Fornyelsesrevisjon skal skje innenfor et tidsrom av tre måneder før utløp av sertifikat. Alle avvik skal være lukket før utløp av sertifikatet.</w:t>
      </w:r>
    </w:p>
    <w:p w:rsidR="00262A62" w:rsidRPr="003150CA" w:rsidP="00E86934" w14:paraId="59878F17" w14:textId="08E00ED9">
      <w:pPr>
        <w:numPr>
          <w:ilvl w:val="0"/>
          <w:numId w:val="4"/>
        </w:numPr>
        <w:jc w:val="both"/>
      </w:pPr>
      <w:r>
        <w:t>Årlig, oppfølgingsrevisjon kan gjennomføres innen sertifikatdato ± 3 måneder.</w:t>
      </w:r>
    </w:p>
    <w:p w:rsidR="003150CA" w:rsidP="00E86934" w14:paraId="5052F9B8" w14:textId="77777777">
      <w:pPr>
        <w:jc w:val="both"/>
      </w:pPr>
    </w:p>
    <w:p w:rsidR="003150CA" w:rsidP="00E86934" w14:paraId="11A815F5" w14:textId="4020F3F0">
      <w:pPr>
        <w:jc w:val="both"/>
      </w:pPr>
    </w:p>
    <w:p w:rsidR="00262A62" w:rsidP="00E86934" w14:paraId="325835C5" w14:textId="02E9FB5E">
      <w:pPr>
        <w:jc w:val="both"/>
      </w:pPr>
      <w:r>
        <w:fldChar w:fldCharType="begin"/>
      </w:r>
      <w:r>
        <w:instrText xml:space="preserve"> REF _Ref139283214 \h </w:instrText>
      </w:r>
      <w:r>
        <w:fldChar w:fldCharType="separate"/>
      </w:r>
      <w:r>
        <w:t xml:space="preserve">Figur </w:t>
      </w:r>
      <w:r>
        <w:t>1</w:t>
      </w:r>
      <w:r>
        <w:fldChar w:fldCharType="end"/>
      </w:r>
      <w:r>
        <w:t xml:space="preserve"> viser prosessflyt ved bestilling og gjennomføring av revisjoner. Noen punkter vedr. gjennomføringen av revisjoner:</w:t>
      </w:r>
    </w:p>
    <w:p w:rsidR="00262A62" w:rsidP="00E86934" w14:paraId="04F24A3E" w14:textId="77777777">
      <w:pPr>
        <w:jc w:val="both"/>
      </w:pPr>
    </w:p>
    <w:p w:rsidR="00262A62" w:rsidP="00BD7BEF" w14:paraId="508D65F8" w14:textId="20C994F2">
      <w:pPr>
        <w:numPr>
          <w:ilvl w:val="0"/>
          <w:numId w:val="5"/>
        </w:numPr>
        <w:jc w:val="both"/>
      </w:pPr>
      <w:r>
        <w:t xml:space="preserve">Planlegging og bestilling av revisjoner gjennomføres normalt av kvalitetsrådgiver i henhold til </w:t>
      </w:r>
      <w:r w:rsidR="00CF3D3C">
        <w:t xml:space="preserve">sertifikat- eller godkjenningsdatoer angitt </w:t>
      </w:r>
      <w:r>
        <w:t xml:space="preserve">revisjonsprogram vist i </w:t>
      </w:r>
      <w:r>
        <w:fldChar w:fldCharType="begin"/>
      </w:r>
      <w:r>
        <w:instrText xml:space="preserve"> REF  _Ref139282018 \* Lower \h </w:instrText>
      </w:r>
      <w:r>
        <w:fldChar w:fldCharType="separate"/>
      </w:r>
      <w:r>
        <w:t>tabell 1</w:t>
      </w:r>
      <w:r>
        <w:fldChar w:fldCharType="end"/>
      </w:r>
      <w:r>
        <w:t>.</w:t>
      </w:r>
      <w:r w:rsidR="00BD7BEF">
        <w:t xml:space="preserve"> Bestillingen oversendes til </w:t>
      </w:r>
      <w:r w:rsidR="00CF3D3C">
        <w:t xml:space="preserve">angitt </w:t>
      </w:r>
      <w:r w:rsidR="00BD7BEF">
        <w:t>sertifiseringsorgan eller organ for godkjenning av utdanning.</w:t>
      </w:r>
    </w:p>
    <w:p w:rsidR="00BD7BEF" w:rsidP="00BD7BEF" w14:paraId="03383891" w14:textId="11B80249">
      <w:pPr>
        <w:numPr>
          <w:ilvl w:val="0"/>
          <w:numId w:val="5"/>
        </w:numPr>
        <w:jc w:val="both"/>
      </w:pPr>
      <w:r>
        <w:t xml:space="preserve">Ved mottak av revisjonsplan </w:t>
      </w:r>
      <w:r w:rsidR="00CF3D3C">
        <w:t xml:space="preserve">fra sertiserings- eller godkjenningsorgan, </w:t>
      </w:r>
      <w:r>
        <w:t>informerer kvalitetsrådgiver involverte parter ved THYF.</w:t>
      </w:r>
    </w:p>
    <w:p w:rsidR="00CF3D3C" w:rsidP="00BD7BEF" w14:paraId="37A0DDC8" w14:textId="588299AE">
      <w:pPr>
        <w:numPr>
          <w:ilvl w:val="0"/>
          <w:numId w:val="5"/>
        </w:numPr>
        <w:jc w:val="both"/>
      </w:pPr>
      <w:r>
        <w:t xml:space="preserve">Sertifiseringsmøtet gjennomføres i henhold til mottatt revisjonsplan og avtaler gjort i løpet av åpningsmøtet. I hovedtrekk vil revisjonen følge et forløp tilsvarende det som er skissert i prosessflytdiagrammet i </w:t>
      </w:r>
      <w:r>
        <w:fldChar w:fldCharType="begin"/>
      </w:r>
      <w:r>
        <w:instrText xml:space="preserve"> REF  _Ref139283214 \* Lower \h </w:instrText>
      </w:r>
      <w:r>
        <w:fldChar w:fldCharType="separate"/>
      </w:r>
      <w:r>
        <w:t>figur 1</w:t>
      </w:r>
      <w:r>
        <w:fldChar w:fldCharType="end"/>
      </w:r>
      <w:r>
        <w:t>.</w:t>
      </w:r>
    </w:p>
    <w:p w:rsidR="00CF3D3C" w:rsidP="00CF3D3C" w14:paraId="4ECC0ACF" w14:textId="4C20AA36">
      <w:pPr>
        <w:numPr>
          <w:ilvl w:val="0"/>
          <w:numId w:val="5"/>
        </w:numPr>
        <w:jc w:val="both"/>
      </w:pPr>
      <w:r>
        <w:t>Eventuelle avvik og observasjoner registreres i eget meldesystem (eget avvikssystem).</w:t>
      </w:r>
    </w:p>
    <w:p w:rsidR="006704BA" w:rsidP="00E86934" w14:paraId="320D2EE4" w14:textId="77777777">
      <w:pPr>
        <w:spacing w:after="120"/>
        <w:jc w:val="both"/>
      </w:pPr>
    </w:p>
    <w:p w:rsidR="006704BA" w:rsidP="006704BA" w14:paraId="3ECCB93E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565"/>
        <w:gridCol w:w="697"/>
        <w:gridCol w:w="671"/>
        <w:gridCol w:w="671"/>
        <w:gridCol w:w="671"/>
        <w:gridCol w:w="671"/>
        <w:gridCol w:w="671"/>
      </w:tblGrid>
      <w:tr w14:paraId="59802557" w14:textId="77777777" w:rsidTr="003C15B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4EEB6640" w14:textId="77777777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Sertifisert utdanning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37BE8037" w14:textId="77777777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Sertifikatdato/ godkjenning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22498517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7983854A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459D6217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41C8F016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54AF4CC4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704BA" w:rsidP="002575CB" w14:paraId="6420CDB3" w14:textId="777777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2028</w:t>
            </w:r>
          </w:p>
        </w:tc>
      </w:tr>
      <w:tr w14:paraId="4EC0DE87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bottom w:val="nil"/>
            </w:tcBorders>
            <w:shd w:val="clear" w:color="auto" w:fill="auto"/>
          </w:tcPr>
          <w:p w:rsidR="006704BA" w:rsidP="002575CB" w14:paraId="2425683A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Maritim utdanning – Trondheim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:rsidR="006704BA" w:rsidP="002575CB" w14:paraId="4A1C48F2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</w:tcPr>
          <w:p w:rsidR="006704BA" w:rsidP="002575CB" w14:paraId="3A273784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0D89A75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74E6372E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3EDFD9D8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2CB5104E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393F5C33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40A0CB5A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5825BE41" w14:textId="77777777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Sertifikat DNVGL-ST-0029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3B009BF4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01.06.2026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216BBF67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3D9A8B24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6CD8AACF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F1DB305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169AF57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0E78855C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</w:tr>
      <w:tr w14:paraId="5BBBC010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73A6069F" w14:textId="26FBB8A6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Godkjenning </w:t>
            </w:r>
            <w:r w:rsidR="00CF3D3C">
              <w:rPr>
                <w:sz w:val="16"/>
                <w:szCs w:val="18"/>
              </w:rPr>
              <w:t>Sjøfartsdirektoratet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358F42D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15.12.2026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69C4A46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74DA36CB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72750201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0DDACEBC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E39CB34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2A35599E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18C89B14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4CC41275" w14:textId="65BDCA38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Godkjenning </w:t>
            </w:r>
            <w:r w:rsidR="00CF3D3C">
              <w:rPr>
                <w:sz w:val="16"/>
                <w:szCs w:val="18"/>
              </w:rPr>
              <w:t>Telenor Kystradio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1904FAE2" w14:textId="7BDA90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27.05.2021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F19648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3C3354C2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184760B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0556C000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C108036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50138B02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612C71EB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bottom w:val="nil"/>
            </w:tcBorders>
            <w:shd w:val="clear" w:color="auto" w:fill="auto"/>
          </w:tcPr>
          <w:p w:rsidR="006704BA" w:rsidP="002575CB" w14:paraId="62F20F74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Maritim utdanning – Ytre Namdal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:rsidR="006704BA" w:rsidP="002575CB" w14:paraId="7B47B006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</w:tcPr>
          <w:p w:rsidR="006704BA" w:rsidP="002575CB" w14:paraId="0838E30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096B096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6A552157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5EECEDC8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426AF011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1B8890EC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3F6C83E2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011B2974" w14:textId="77777777">
            <w:pPr>
              <w:numPr>
                <w:ilvl w:val="0"/>
                <w:numId w:val="2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Sertifikat DNVGL-ST-0029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0A11FBE5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10.11.2023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6EF92EDF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68880C92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6572052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77FB71E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9A0BEC3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6C2EF8B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</w:tr>
      <w:tr w14:paraId="0B47B3E9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410C4D84" w14:textId="1693F153">
            <w:pPr>
              <w:numPr>
                <w:ilvl w:val="0"/>
                <w:numId w:val="2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Godkjenning </w:t>
            </w:r>
            <w:r w:rsidR="00CF3D3C">
              <w:rPr>
                <w:sz w:val="16"/>
                <w:szCs w:val="18"/>
              </w:rPr>
              <w:t>Sjøfartsdirektoratet</w:t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006A7AF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11.11.2023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6A5B992C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57101A74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FD3BC71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18F10EE6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72D54AD8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</w:tcPr>
          <w:p w:rsidR="006704BA" w:rsidP="002575CB" w14:paraId="7BA530A2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</w:tr>
      <w:tr w14:paraId="35BE8E98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58CDAB43" w14:textId="1832E726">
            <w:pPr>
              <w:numPr>
                <w:ilvl w:val="0"/>
                <w:numId w:val="2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Godkjenning </w:t>
            </w:r>
            <w:r w:rsidR="00CF3D3C">
              <w:rPr>
                <w:sz w:val="16"/>
                <w:szCs w:val="18"/>
              </w:rPr>
              <w:t>Telenor Kystradio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5301D54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20.05.2021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01E20041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56305DD5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188C9245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3D41C08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5B445D3C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8B9AA13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354EB578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bottom w:val="nil"/>
            </w:tcBorders>
            <w:shd w:val="clear" w:color="auto" w:fill="auto"/>
          </w:tcPr>
          <w:p w:rsidR="006704BA" w:rsidP="002575CB" w14:paraId="6A712213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Sveiseutdanning Chr. Thams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:rsidR="006704BA" w:rsidP="002575CB" w14:paraId="11353056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97" w:type="dxa"/>
            <w:tcBorders>
              <w:bottom w:val="nil"/>
            </w:tcBorders>
            <w:shd w:val="clear" w:color="auto" w:fill="auto"/>
          </w:tcPr>
          <w:p w:rsidR="006704BA" w:rsidP="002575CB" w14:paraId="408C0944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574C4E1E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255DBBA1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17F3C417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7DB66D75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6704BA" w:rsidP="002575CB" w14:paraId="5A92302B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3358A7AB" w14:textId="77777777" w:rsidTr="003C15BA">
        <w:tblPrEx>
          <w:tblW w:w="0" w:type="auto"/>
          <w:tblLook w:val="04A0"/>
        </w:tblPrEx>
        <w:tc>
          <w:tcPr>
            <w:tcW w:w="3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279479E3" w14:textId="77777777">
            <w:pPr>
              <w:numPr>
                <w:ilvl w:val="0"/>
                <w:numId w:val="3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Norsk Sveiseteknisk Forbund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0614C346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09.09.2021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659404AE" w14:textId="09ED41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="009850D7">
              <w:rPr>
                <w:sz w:val="16"/>
                <w:szCs w:val="18"/>
              </w:rPr>
              <w:t>x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7A848683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492940BB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x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4EA52A90" w14:textId="777777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315EADFB" w14:textId="5BDB0D2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(x)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4BA" w:rsidP="002575CB" w14:paraId="18453D98" w14:textId="77777777">
            <w:pPr>
              <w:jc w:val="center"/>
              <w:rPr>
                <w:sz w:val="16"/>
                <w:szCs w:val="18"/>
              </w:rPr>
            </w:pPr>
          </w:p>
        </w:tc>
      </w:tr>
      <w:tr w14:paraId="4C5970DA" w14:textId="77777777" w:rsidTr="0020628D">
        <w:tblPrEx>
          <w:tblW w:w="0" w:type="auto"/>
          <w:tblLook w:val="04A0"/>
        </w:tblPrEx>
        <w:tc>
          <w:tcPr>
            <w:tcW w:w="9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5BA" w:rsidP="003C15BA" w14:paraId="41490B39" w14:textId="77777777">
            <w:pPr>
              <w:rPr>
                <w:sz w:val="16"/>
                <w:szCs w:val="18"/>
              </w:rPr>
            </w:pPr>
          </w:p>
          <w:p w:rsidR="003C15BA" w:rsidP="003C15BA" w14:paraId="2CDEE779" w14:textId="77777777">
            <w:pPr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Forklaring: </w:t>
            </w:r>
          </w:p>
          <w:p w:rsidR="003C15BA" w:rsidP="003C15BA" w14:paraId="1A1213B8" w14:textId="24A36692">
            <w:pPr>
              <w:ind w:left="709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x = Oppstarts- eller fornyelsesrevisjon for sertifikat/godkjenning</w:t>
            </w:r>
          </w:p>
          <w:p w:rsidR="003C15BA" w:rsidRPr="003C15BA" w:rsidP="003C15BA" w14:paraId="45B859CA" w14:textId="79A2395A">
            <w:pPr>
              <w:spacing w:after="120"/>
              <w:ind w:left="709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(x) = </w:t>
            </w:r>
            <w:r>
              <w:rPr>
                <w:i/>
                <w:iCs/>
                <w:sz w:val="16"/>
                <w:szCs w:val="18"/>
              </w:rPr>
              <w:t>Oppfølgingsrevisjon for sertifikat/godkjenning</w:t>
            </w:r>
          </w:p>
        </w:tc>
      </w:tr>
    </w:tbl>
    <w:p w:rsidR="006704BA" w:rsidP="003C15BA" w14:paraId="6B250E7B" w14:textId="77777777"/>
    <w:p w:rsidR="006704BA" w:rsidP="003C15BA" w14:paraId="20E95276" w14:textId="4C6C7ADC">
      <w:pPr>
        <w:pStyle w:val="Caption"/>
        <w:rPr>
          <w:szCs w:val="18"/>
        </w:rPr>
      </w:pPr>
      <w:bookmarkStart w:id="1" w:name="_Ref139282018"/>
      <w:bookmarkStart w:id="2" w:name="_Ref139283481"/>
      <w:r w:rsidRPr="003150CA">
        <w:t xml:space="preserve">Tabell </w:t>
      </w:r>
      <w:r w:rsidRPr="003150CA">
        <w:fldChar w:fldCharType="begin"/>
      </w:r>
      <w:r>
        <w:instrText xml:space="preserve"> SEQ Tabell \* ARABIC </w:instrText>
      </w:r>
      <w:r w:rsidRPr="003150CA">
        <w:fldChar w:fldCharType="separate"/>
      </w:r>
      <w:r>
        <w:t>1</w:t>
      </w:r>
      <w:r w:rsidRPr="003150CA">
        <w:rPr>
          <w:noProof/>
        </w:rPr>
        <w:fldChar w:fldCharType="end"/>
      </w:r>
      <w:bookmarkEnd w:id="1"/>
      <w:r w:rsidRPr="003150CA">
        <w:t>:</w:t>
      </w:r>
      <w:r>
        <w:t xml:space="preserve"> Revisjonsprogram for sertifiserte utdanninger ved THYF</w:t>
      </w:r>
      <w:bookmarkEnd w:id="2"/>
      <w:r w:rsidR="00CF3D3C">
        <w:t>.</w:t>
      </w:r>
    </w:p>
    <w:p w:rsidR="006704BA" w:rsidP="006704BA" w14:paraId="498777E6" w14:textId="77777777">
      <w:pPr>
        <w:spacing w:after="120"/>
        <w:jc w:val="both"/>
        <w:rPr>
          <w:szCs w:val="18"/>
        </w:rPr>
      </w:pPr>
    </w:p>
    <w:p w:rsidR="006704BA" w:rsidRPr="00CF0617" w:rsidP="006704BA" w14:paraId="08982FB8" w14:textId="77777777">
      <w:pPr>
        <w:spacing w:after="120"/>
        <w:jc w:val="both"/>
        <w:rPr>
          <w:szCs w:val="18"/>
        </w:rPr>
      </w:pP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1. Kvalitetssystem - systembeskrivelse og organisering.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1.2.3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Kapittel 2.1 Ledelsens ansvar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4.28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Revisjonsprogram</w:t>
              </w:r>
            </w:hyperlink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3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hyperlink r:id="rId9" w:history="1">
              <w:r>
                <w:rPr>
                  <w:b w:val="0"/>
                  <w:color w:val="0000FF"/>
                  <w:u w:val="single"/>
                </w:rPr>
                <w:t>.22 DNV-ST-0029 Maritime training providers (November 2023)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.22.2 DNV-ST-0029-MTP, Section 2 Certification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.22.3 DNV-ST-0029-MTP, Section 3 Management</w:t>
              </w:r>
            </w:hyperlink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4"/>
    </w:p>
    <w:p w:rsidR="006704BA" w14:paraId="6069C3A4" w14:textId="77777777">
      <w:pPr>
        <w:rPr>
          <w:szCs w:val="18"/>
        </w:rPr>
        <w:sectPr w:rsidSect="006704BA">
          <w:headerReference w:type="default" r:id="rId11"/>
          <w:footerReference w:type="first" r:id="rId12"/>
          <w:type w:val="continuous"/>
          <w:pgSz w:w="11907" w:h="16840" w:code="9"/>
          <w:pgMar w:top="851" w:right="1418" w:bottom="851" w:left="1418" w:header="851" w:footer="454" w:gutter="0"/>
          <w:cols w:space="708"/>
          <w:formProt w:val="0"/>
          <w:titlePg/>
        </w:sectPr>
      </w:pPr>
    </w:p>
    <w:p w:rsidR="006704BA" w14:paraId="31416AE9" w14:textId="77777777">
      <w:pPr>
        <w:rPr>
          <w:szCs w:val="18"/>
        </w:rPr>
        <w:sectPr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formProt w:val="0"/>
          <w:titlePg/>
        </w:sectPr>
      </w:pPr>
    </w:p>
    <w:p w:rsidR="001C0FFA" w:rsidP="006704BA" w14:paraId="02699B77" w14:textId="0A5C6894">
      <w:pPr>
        <w:rPr>
          <w:szCs w:val="18"/>
        </w:rPr>
      </w:pPr>
      <w:r>
        <w:rPr>
          <w:szCs w:val="18"/>
        </w:rPr>
        <w:object>
          <v:shape id="_x0000_i1026" type="#_x0000_t75" style="width:577.2pt;height:400.35pt" o:ole="">
            <v:imagedata r:id="rId13" o:title=""/>
          </v:shape>
          <o:OLEObject Type="Embed" ProgID="Visio.Drawing.15" ShapeID="_x0000_i1026" DrawAspect="Content" ObjectID="_1778570092" r:id="rId14"/>
        </w:object>
      </w:r>
    </w:p>
    <w:p w:rsidR="003150CA" w:rsidP="003150CA" w14:paraId="2ADA0B57" w14:textId="77777777">
      <w:pPr>
        <w:pStyle w:val="Caption"/>
      </w:pPr>
    </w:p>
    <w:p w:rsidR="006704BA" w:rsidRPr="00CF0617" w:rsidP="003150CA" w14:paraId="78865F44" w14:textId="387F1981">
      <w:pPr>
        <w:pStyle w:val="Caption"/>
        <w:rPr>
          <w:szCs w:val="18"/>
        </w:rPr>
      </w:pPr>
      <w:bookmarkStart w:id="5" w:name="_Ref139283214"/>
      <w:bookmarkStart w:id="6" w:name="_Ref139283158"/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1</w:t>
      </w:r>
      <w:r>
        <w:rPr>
          <w:noProof/>
        </w:rPr>
        <w:fldChar w:fldCharType="end"/>
      </w:r>
      <w:bookmarkEnd w:id="5"/>
      <w:r>
        <w:t>: Prosessflytskjema som viser gjennomføring av internrevisjoner og revisjoner for sertifisering/godkjenning av utdanninger ved THYF.</w:t>
      </w:r>
      <w:bookmarkEnd w:id="6"/>
    </w:p>
    <w:sectPr w:rsidSect="006704BA">
      <w:headerReference w:type="first" r:id="rId15"/>
      <w:pgSz w:w="16840" w:h="11907" w:orient="landscape" w:code="9"/>
      <w:pgMar w:top="1418" w:right="851" w:bottom="1418" w:left="851" w:header="851" w:footer="454" w:gutter="0"/>
      <w:pgNumType w:start="3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5F65F58B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24.06.2024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Revisjoner og sertifiseringer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3.7.1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t xml:space="preserve">  :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338FFC85" w14:textId="77777777" w:rsidTr="002575CB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6704BA" w:rsidP="006704BA" w14:paraId="157E21D4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Revisjoner og sertifiseringer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6704BA" w:rsidP="006704BA" w14:paraId="22E4835B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3.7.1</w:t>
          </w:r>
          <w:r>
            <w:rPr>
              <w:sz w:val="20"/>
            </w:rPr>
            <w:fldChar w:fldCharType="end"/>
          </w:r>
        </w:p>
      </w:tc>
    </w:tr>
    <w:tr w14:paraId="11198FD5" w14:textId="77777777" w:rsidTr="002575CB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6704BA" w:rsidP="006704BA" w14:paraId="35D75894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6704BA" w:rsidP="006704BA" w14:paraId="216DEC93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</w:t>
          </w:r>
          <w:r>
            <w:rPr>
              <w:sz w:val="20"/>
            </w:rPr>
            <w:t xml:space="preserve">  :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6704BA" w:rsidRPr="006704BA" w:rsidP="006704BA" w14:paraId="5E2B84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AB772E"/>
    <w:multiLevelType w:val="hybridMultilevel"/>
    <w:tmpl w:val="D56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231F"/>
    <w:multiLevelType w:val="hybridMultilevel"/>
    <w:tmpl w:val="10FAA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575"/>
    <w:multiLevelType w:val="hybridMultilevel"/>
    <w:tmpl w:val="B29E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BCA"/>
    <w:multiLevelType w:val="hybridMultilevel"/>
    <w:tmpl w:val="EAB6D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3197"/>
    <w:multiLevelType w:val="hybridMultilevel"/>
    <w:tmpl w:val="57F49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9189">
    <w:abstractNumId w:val="1"/>
  </w:num>
  <w:num w:numId="2" w16cid:durableId="896665071">
    <w:abstractNumId w:val="3"/>
  </w:num>
  <w:num w:numId="3" w16cid:durableId="2091459295">
    <w:abstractNumId w:val="2"/>
  </w:num>
  <w:num w:numId="4" w16cid:durableId="368840203">
    <w:abstractNumId w:val="4"/>
  </w:num>
  <w:num w:numId="5" w16cid:durableId="104086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64B5B"/>
    <w:rsid w:val="000F3BF2"/>
    <w:rsid w:val="00190191"/>
    <w:rsid w:val="001A500E"/>
    <w:rsid w:val="001C0FFA"/>
    <w:rsid w:val="001D4534"/>
    <w:rsid w:val="002575CB"/>
    <w:rsid w:val="00262A62"/>
    <w:rsid w:val="00280477"/>
    <w:rsid w:val="003150CA"/>
    <w:rsid w:val="00387F5C"/>
    <w:rsid w:val="00391066"/>
    <w:rsid w:val="003C15BA"/>
    <w:rsid w:val="003D4093"/>
    <w:rsid w:val="003E2F91"/>
    <w:rsid w:val="00415440"/>
    <w:rsid w:val="00473133"/>
    <w:rsid w:val="004A0645"/>
    <w:rsid w:val="004F400D"/>
    <w:rsid w:val="005037FB"/>
    <w:rsid w:val="00593ADB"/>
    <w:rsid w:val="005C6943"/>
    <w:rsid w:val="005F7187"/>
    <w:rsid w:val="006704BA"/>
    <w:rsid w:val="00671862"/>
    <w:rsid w:val="006C7DED"/>
    <w:rsid w:val="0075102E"/>
    <w:rsid w:val="00784455"/>
    <w:rsid w:val="007D7699"/>
    <w:rsid w:val="008D71D7"/>
    <w:rsid w:val="00946C2A"/>
    <w:rsid w:val="0095797D"/>
    <w:rsid w:val="00966D3A"/>
    <w:rsid w:val="009850D7"/>
    <w:rsid w:val="00AA4D47"/>
    <w:rsid w:val="00B3769A"/>
    <w:rsid w:val="00B84574"/>
    <w:rsid w:val="00B926C6"/>
    <w:rsid w:val="00BD7BEF"/>
    <w:rsid w:val="00BF75FB"/>
    <w:rsid w:val="00C71590"/>
    <w:rsid w:val="00CD5806"/>
    <w:rsid w:val="00CD5A4D"/>
    <w:rsid w:val="00CE40C2"/>
    <w:rsid w:val="00CF0617"/>
    <w:rsid w:val="00CF3D3C"/>
    <w:rsid w:val="00D24256"/>
    <w:rsid w:val="00D605CE"/>
    <w:rsid w:val="00D72127"/>
    <w:rsid w:val="00E34F49"/>
    <w:rsid w:val="00E86934"/>
    <w:rsid w:val="00EF2D79"/>
    <w:rsid w:val="00F11839"/>
    <w:rsid w:val="00F17B8D"/>
    <w:rsid w:val="00F65AC2"/>
    <w:rsid w:val="00FC0A34"/>
    <w:rsid w:val="00FE0204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73133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6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150CA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tandards.dnv.com/explorer/document/F63D7FA6C45F460DA09A0DBEFB1C4C1F/4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image" Target="media/image2.emf" /><Relationship Id="rId14" Type="http://schemas.openxmlformats.org/officeDocument/2006/relationships/package" Target="embeddings/ooxmlPackage1.vsdx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thyf-ekstern.dkhosting.no/docs/pub/DOK00160.pdf" TargetMode="External" /><Relationship Id="rId7" Type="http://schemas.openxmlformats.org/officeDocument/2006/relationships/hyperlink" Target="https://thyf-ekstern.dkhosting.no/docs/pub/DOK00165.pdf" TargetMode="External" /><Relationship Id="rId8" Type="http://schemas.openxmlformats.org/officeDocument/2006/relationships/hyperlink" Target="https://thyf-ekstern.dkhosting.no/docs/pub/DOK00264.pdf" TargetMode="External" /><Relationship Id="rId9" Type="http://schemas.openxmlformats.org/officeDocument/2006/relationships/hyperlink" Target="https://standards.dnv.com/explorer/document/F63D7FA6C45F460DA09A0DBEFB1C4C1F/2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0E0BBF-1DA6-4A6F-AEAF-A11641C75384}">
  <we:reference id="wa200003024" version="3.0.0.0" store="nb-NO" storeType="omex"/>
  <we:alternateReferences>
    <we:reference id="WA200003024" version="3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2D3F-8777-4542-AFE5-8ECADE5E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211</TotalTime>
  <Pages>3</Pages>
  <Words>803</Words>
  <Characters>5297</Characters>
  <Application>Microsoft Office Word</Application>
  <DocSecurity>0</DocSecurity>
  <Lines>252</Lines>
  <Paragraphs>152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PRO.3 Revisjoner og sertifiseringer</vt:lpstr>
      <vt:lpstr>	</vt:lpstr>
    </vt:vector>
  </TitlesOfParts>
  <Company>Datakvalitet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Revisjoner og sertifiseringer ved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15</cp:revision>
  <dcterms:created xsi:type="dcterms:W3CDTF">2020-01-20T07:07:00Z</dcterms:created>
  <dcterms:modified xsi:type="dcterms:W3CDTF">2024-05-30T08:28:00Z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Revisjoner og sertifiseringer ved THYF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30.05.2024</vt:lpwstr>
  </property>
  <property fmtid="{D5CDD505-2E9C-101B-9397-08002B2CF9AE}" pid="7" name="EK_GjelderTil">
    <vt:lpwstr>30.05.2025</vt:lpwstr>
  </property>
  <property fmtid="{D5CDD505-2E9C-101B-9397-08002B2CF9AE}" pid="8" name="EK_RefNr">
    <vt:lpwstr>3.7.1</vt:lpwstr>
  </property>
  <property fmtid="{D5CDD505-2E9C-101B-9397-08002B2CF9AE}" pid="9" name="EK_Signatur">
    <vt:lpwstr>Ikke styrt</vt:lpwstr>
  </property>
  <property fmtid="{D5CDD505-2E9C-101B-9397-08002B2CF9AE}" pid="10" name="EK_SkrevetAv">
    <vt:lpwstr>Hans Tore Mikkelsen</vt:lpwstr>
  </property>
  <property fmtid="{D5CDD505-2E9C-101B-9397-08002B2CF9AE}" pid="11" name="EK_Utgave">
    <vt:lpwstr>0.04</vt:lpwstr>
  </property>
  <property fmtid="{D5CDD505-2E9C-101B-9397-08002B2CF9AE}" pid="12" name="EK_Watermark">
    <vt:lpwstr>Vannmerke</vt:lpwstr>
  </property>
  <property fmtid="{D5CDD505-2E9C-101B-9397-08002B2CF9AE}" pid="13" name="XD00160">
    <vt:lpwstr>1.2.1</vt:lpwstr>
  </property>
  <property fmtid="{D5CDD505-2E9C-101B-9397-08002B2CF9AE}" pid="14" name="XD00165">
    <vt:lpwstr>1.2.3</vt:lpwstr>
  </property>
  <property fmtid="{D5CDD505-2E9C-101B-9397-08002B2CF9AE}" pid="15" name="XD00264">
    <vt:lpwstr>4.28</vt:lpwstr>
  </property>
  <property fmtid="{D5CDD505-2E9C-101B-9397-08002B2CF9AE}" pid="16" name="XDF00160">
    <vt:lpwstr>1. Kvalitetssystem - systembeskrivelse og organisering.</vt:lpwstr>
  </property>
  <property fmtid="{D5CDD505-2E9C-101B-9397-08002B2CF9AE}" pid="17" name="XDF00165">
    <vt:lpwstr>Kapittel 2.1 Ledelsens ansvar</vt:lpwstr>
  </property>
  <property fmtid="{D5CDD505-2E9C-101B-9397-08002B2CF9AE}" pid="18" name="XDF00264">
    <vt:lpwstr>Revisjonsprogram</vt:lpwstr>
  </property>
  <property fmtid="{D5CDD505-2E9C-101B-9397-08002B2CF9AE}" pid="19" name="XDL00160">
    <vt:lpwstr>1.2.1 1. Kvalitetssystem - systembeskrivelse og organisering.</vt:lpwstr>
  </property>
  <property fmtid="{D5CDD505-2E9C-101B-9397-08002B2CF9AE}" pid="20" name="XDL00165">
    <vt:lpwstr>1.2.3 Kapittel 2.1 Ledelsens ansvar</vt:lpwstr>
  </property>
  <property fmtid="{D5CDD505-2E9C-101B-9397-08002B2CF9AE}" pid="21" name="XDL00264">
    <vt:lpwstr>4.28 Revisjonsprogram</vt:lpwstr>
  </property>
  <property fmtid="{D5CDD505-2E9C-101B-9397-08002B2CF9AE}" pid="22" name="XDT00160">
    <vt:lpwstr>1. Kvalitetssystem - systembeskrivelse og organisering.</vt:lpwstr>
  </property>
  <property fmtid="{D5CDD505-2E9C-101B-9397-08002B2CF9AE}" pid="23" name="XDT00165">
    <vt:lpwstr>Kapittel 2.1 Ledelsens ansvar</vt:lpwstr>
  </property>
  <property fmtid="{D5CDD505-2E9C-101B-9397-08002B2CF9AE}" pid="24" name="XDT00264">
    <vt:lpwstr>Revisjonsprogram</vt:lpwstr>
  </property>
  <property fmtid="{D5CDD505-2E9C-101B-9397-08002B2CF9AE}" pid="25" name="XR00146">
    <vt:lpwstr>.22</vt:lpwstr>
  </property>
  <property fmtid="{D5CDD505-2E9C-101B-9397-08002B2CF9AE}" pid="26" name="XR00147">
    <vt:lpwstr>.22.2</vt:lpwstr>
  </property>
  <property fmtid="{D5CDD505-2E9C-101B-9397-08002B2CF9AE}" pid="27" name="XR00148">
    <vt:lpwstr>.22.3</vt:lpwstr>
  </property>
  <property fmtid="{D5CDD505-2E9C-101B-9397-08002B2CF9AE}" pid="28" name="XRF00146">
    <vt:lpwstr>DNV-ST-0029 Maritime training providers (November 2023)</vt:lpwstr>
  </property>
  <property fmtid="{D5CDD505-2E9C-101B-9397-08002B2CF9AE}" pid="29" name="XRF00147">
    <vt:lpwstr>DNV-ST-0029-MTP, Section 2 Certification</vt:lpwstr>
  </property>
  <property fmtid="{D5CDD505-2E9C-101B-9397-08002B2CF9AE}" pid="30" name="XRF00148">
    <vt:lpwstr>DNV-ST-0029-MTP, Section 3 Management</vt:lpwstr>
  </property>
  <property fmtid="{D5CDD505-2E9C-101B-9397-08002B2CF9AE}" pid="31" name="XRL00146">
    <vt:lpwstr>.22 DNV-ST-0029 Maritime training providers (November 2023)</vt:lpwstr>
  </property>
  <property fmtid="{D5CDD505-2E9C-101B-9397-08002B2CF9AE}" pid="32" name="XRL00147">
    <vt:lpwstr>.22.2 DNV-ST-0029-MTP, Section 2 Certification</vt:lpwstr>
  </property>
  <property fmtid="{D5CDD505-2E9C-101B-9397-08002B2CF9AE}" pid="33" name="XRL00148">
    <vt:lpwstr>.22.3 DNV-ST-0029-MTP, Section 3 Management</vt:lpwstr>
  </property>
  <property fmtid="{D5CDD505-2E9C-101B-9397-08002B2CF9AE}" pid="34" name="XRT00146">
    <vt:lpwstr>DNV-ST-0029 Maritime training providers (November 2023)</vt:lpwstr>
  </property>
  <property fmtid="{D5CDD505-2E9C-101B-9397-08002B2CF9AE}" pid="35" name="XRT00147">
    <vt:lpwstr>DNV-ST-0029-MTP, Section 2 Certification</vt:lpwstr>
  </property>
  <property fmtid="{D5CDD505-2E9C-101B-9397-08002B2CF9AE}" pid="36" name="XRT00148">
    <vt:lpwstr>DNV-ST-0029-MTP, Section 3 Management</vt:lpwstr>
  </property>
</Properties>
</file>