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tbl>
      <w:tblPr>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14:paraId="17BE909F" w14:textId="77777777">
        <w:tblPrEx>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1C0FFA" w:rsidRPr="00B579ED" w:rsidP="00B579ED" w14:paraId="17BE909D" w14:textId="53E8EB82">
            <w:pPr>
              <w:spacing w:before="120" w:after="120"/>
              <w:rPr>
                <w:rFonts w:ascii="Verdana" w:hAnsi="Verdana"/>
                <w:b/>
                <w:sz w:val="28"/>
              </w:rPr>
            </w:pPr>
            <w:r>
              <w:rPr>
                <w:rFonts w:ascii="Verdana" w:hAnsi="Verdana"/>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37.9pt">
                  <v:imagedata r:id="rId4" o:title="Logo THYF"/>
                </v:shape>
              </w:pict>
            </w:r>
          </w:p>
        </w:tc>
        <w:tc>
          <w:tcPr>
            <w:tcW w:w="2126" w:type="dxa"/>
            <w:tcBorders>
              <w:top w:val="single" w:sz="12" w:space="0" w:color="auto"/>
              <w:left w:val="nil"/>
              <w:bottom w:val="single" w:sz="6" w:space="0" w:color="auto"/>
            </w:tcBorders>
          </w:tcPr>
          <w:p w:rsidR="001C0FFA" w:rsidRPr="00B579ED" w14:paraId="17BE909E" w14:textId="77777777">
            <w:pPr>
              <w:spacing w:before="180" w:after="120"/>
              <w:rPr>
                <w:rFonts w:ascii="Verdana" w:hAnsi="Verdana"/>
              </w:rPr>
            </w:pPr>
            <w:r w:rsidRPr="00B579ED">
              <w:rPr>
                <w:rFonts w:ascii="Verdana" w:hAnsi="Verdana"/>
                <w:sz w:val="16"/>
              </w:rPr>
              <w:t xml:space="preserve">Dok.id.: </w:t>
            </w:r>
            <w:r w:rsidRPr="00B579ED">
              <w:rPr>
                <w:rFonts w:ascii="Verdana" w:hAnsi="Verdana"/>
                <w:sz w:val="16"/>
              </w:rPr>
              <w:fldChar w:fldCharType="begin" w:fldLock="1"/>
            </w:r>
            <w:r w:rsidRPr="00B579ED">
              <w:rPr>
                <w:rFonts w:ascii="Verdana" w:hAnsi="Verdana"/>
                <w:color w:val="000080"/>
              </w:rPr>
              <w:instrText xml:space="preserve"> DOCPROPERTY EK_RefNr </w:instrText>
            </w:r>
            <w:r w:rsidRPr="00B579ED">
              <w:rPr>
                <w:rFonts w:ascii="Verdana" w:hAnsi="Verdana"/>
                <w:sz w:val="16"/>
              </w:rPr>
              <w:fldChar w:fldCharType="separate"/>
            </w:r>
            <w:r w:rsidRPr="00B579ED">
              <w:rPr>
                <w:rFonts w:ascii="Verdana" w:hAnsi="Verdana"/>
                <w:color w:val="000080"/>
              </w:rPr>
              <w:t>1.2.10</w:t>
            </w:r>
            <w:r w:rsidRPr="00B579ED">
              <w:rPr>
                <w:rFonts w:ascii="Verdana" w:hAnsi="Verdana"/>
                <w:sz w:val="16"/>
              </w:rPr>
              <w:fldChar w:fldCharType="end"/>
            </w:r>
          </w:p>
        </w:tc>
      </w:tr>
      <w:tr w14:paraId="17BE90A2" w14:textId="77777777">
        <w:tblPrEx>
          <w:tblW w:w="0" w:type="auto"/>
          <w:tblInd w:w="71" w:type="dxa"/>
          <w:tblLayout w:type="fixed"/>
          <w:tblCellMar>
            <w:left w:w="71" w:type="dxa"/>
            <w:right w:w="71" w:type="dxa"/>
          </w:tblCellMar>
          <w:tblLook w:val="0000"/>
        </w:tblPrEx>
        <w:trPr>
          <w:cantSplit/>
        </w:trPr>
        <w:tc>
          <w:tcPr>
            <w:tcW w:w="7085" w:type="dxa"/>
            <w:gridSpan w:val="4"/>
            <w:tcBorders>
              <w:top w:val="single" w:sz="6" w:space="0" w:color="auto"/>
              <w:bottom w:val="single" w:sz="6" w:space="0" w:color="auto"/>
              <w:right w:val="single" w:sz="6" w:space="0" w:color="auto"/>
            </w:tcBorders>
          </w:tcPr>
          <w:p w:rsidR="001C0FFA" w:rsidRPr="00B579ED" w14:paraId="17BE90A0" w14:textId="77777777">
            <w:pPr>
              <w:spacing w:before="80" w:after="80"/>
              <w:rPr>
                <w:rFonts w:ascii="Verdana" w:hAnsi="Verdana"/>
                <w:b/>
              </w:rPr>
            </w:pPr>
            <w:r w:rsidRPr="00B579ED">
              <w:rPr>
                <w:rFonts w:ascii="Verdana" w:hAnsi="Verdana"/>
                <w:b/>
              </w:rPr>
              <w:fldChar w:fldCharType="begin" w:fldLock="1"/>
            </w:r>
            <w:r w:rsidRPr="00B579ED">
              <w:rPr>
                <w:rFonts w:ascii="Verdana" w:hAnsi="Verdana"/>
                <w:b/>
                <w:color w:val="000080"/>
              </w:rPr>
              <w:instrText xml:space="preserve"> DOCPROPERTY EK_DokTittel </w:instrText>
            </w:r>
            <w:r w:rsidRPr="00B579ED">
              <w:rPr>
                <w:rFonts w:ascii="Verdana" w:hAnsi="Verdana"/>
                <w:b/>
              </w:rPr>
              <w:fldChar w:fldCharType="separate"/>
            </w:r>
            <w:r w:rsidRPr="00B579ED">
              <w:rPr>
                <w:rFonts w:ascii="Verdana" w:hAnsi="Verdana"/>
                <w:b/>
                <w:color w:val="000080"/>
              </w:rPr>
              <w:t>Kapittel 3.2 Utvikling og gjennomgang av utdannings- og opplæringsprogram</w:t>
            </w:r>
            <w:r w:rsidRPr="00B579ED">
              <w:rPr>
                <w:rFonts w:ascii="Verdana" w:hAnsi="Verdana"/>
                <w:b/>
              </w:rPr>
              <w:fldChar w:fldCharType="end"/>
            </w:r>
            <w:bookmarkStart w:id="0" w:name="tempHer"/>
            <w:bookmarkEnd w:id="0"/>
          </w:p>
        </w:tc>
        <w:tc>
          <w:tcPr>
            <w:tcW w:w="2125" w:type="dxa"/>
            <w:tcBorders>
              <w:top w:val="single" w:sz="6" w:space="0" w:color="auto"/>
              <w:left w:val="nil"/>
              <w:bottom w:val="single" w:sz="6" w:space="0" w:color="auto"/>
            </w:tcBorders>
          </w:tcPr>
          <w:p w:rsidR="001C0FFA" w:rsidRPr="00B579ED" w14:paraId="17BE90A1" w14:textId="77777777">
            <w:pPr>
              <w:spacing w:before="80" w:after="80"/>
              <w:rPr>
                <w:rFonts w:ascii="Verdana" w:hAnsi="Verdana"/>
              </w:rPr>
            </w:pPr>
            <w:r w:rsidRPr="00B579ED">
              <w:rPr>
                <w:rFonts w:ascii="Verdana" w:hAnsi="Verdana"/>
              </w:rPr>
              <w:fldChar w:fldCharType="begin" w:fldLock="1"/>
            </w:r>
            <w:r w:rsidRPr="00B579ED">
              <w:rPr>
                <w:rFonts w:ascii="Verdana" w:hAnsi="Verdana"/>
                <w:color w:val="000080"/>
              </w:rPr>
              <w:instrText xml:space="preserve"> DOCPROPERTY EK_DokType </w:instrText>
            </w:r>
            <w:r w:rsidRPr="00B579ED">
              <w:rPr>
                <w:rFonts w:ascii="Verdana" w:hAnsi="Verdana"/>
              </w:rPr>
              <w:fldChar w:fldCharType="separate"/>
            </w:r>
            <w:r w:rsidRPr="00B579ED">
              <w:rPr>
                <w:rFonts w:ascii="Verdana" w:hAnsi="Verdana"/>
                <w:color w:val="000080"/>
              </w:rPr>
              <w:t>MTP</w:t>
            </w:r>
            <w:r w:rsidRPr="00B579ED">
              <w:rPr>
                <w:rFonts w:ascii="Verdana" w:hAnsi="Verdana"/>
              </w:rPr>
              <w:fldChar w:fldCharType="end"/>
            </w:r>
          </w:p>
        </w:tc>
      </w:tr>
      <w:tr w14:paraId="17BE90AD" w14:textId="77777777">
        <w:tblPrEx>
          <w:tblW w:w="0" w:type="auto"/>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1C0FFA" w:rsidRPr="00B579ED" w14:paraId="17BE90A3" w14:textId="77777777">
            <w:pPr>
              <w:rPr>
                <w:rFonts w:ascii="Verdana" w:hAnsi="Verdana"/>
                <w:color w:val="000080"/>
                <w:sz w:val="20"/>
              </w:rPr>
            </w:pPr>
            <w:r w:rsidRPr="00B579ED">
              <w:rPr>
                <w:rFonts w:ascii="Verdana" w:hAnsi="Verdana"/>
                <w:sz w:val="16"/>
              </w:rPr>
              <w:t>Utgave:</w:t>
            </w:r>
          </w:p>
          <w:p w:rsidR="001C0FFA" w:rsidRPr="00B579ED" w14:paraId="17BE90A4" w14:textId="77777777">
            <w:pPr>
              <w:jc w:val="center"/>
              <w:rPr>
                <w:rFonts w:ascii="Verdana" w:hAnsi="Verdana"/>
                <w:sz w:val="20"/>
              </w:rPr>
            </w:pPr>
            <w:r w:rsidRPr="00B579ED">
              <w:rPr>
                <w:rFonts w:ascii="Verdana" w:hAnsi="Verdana"/>
                <w:sz w:val="18"/>
                <w:szCs w:val="18"/>
              </w:rPr>
              <w:fldChar w:fldCharType="begin" w:fldLock="1"/>
            </w:r>
            <w:r w:rsidRPr="00B579ED">
              <w:rPr>
                <w:rFonts w:ascii="Verdana" w:hAnsi="Verdana"/>
                <w:color w:val="000080"/>
                <w:sz w:val="18"/>
                <w:szCs w:val="18"/>
              </w:rPr>
              <w:instrText xml:space="preserve"> DOCPROPERTY EK_Utgave </w:instrText>
            </w:r>
            <w:r w:rsidRPr="00B579ED">
              <w:rPr>
                <w:rFonts w:ascii="Verdana" w:hAnsi="Verdana"/>
                <w:sz w:val="18"/>
                <w:szCs w:val="18"/>
              </w:rPr>
              <w:fldChar w:fldCharType="separate"/>
            </w:r>
            <w:r w:rsidRPr="00B579ED">
              <w:rPr>
                <w:rFonts w:ascii="Verdana" w:hAnsi="Verdana"/>
                <w:color w:val="000080"/>
                <w:sz w:val="18"/>
                <w:szCs w:val="18"/>
              </w:rPr>
              <w:t>1.00</w:t>
            </w:r>
            <w:r w:rsidRPr="00B579ED">
              <w:rPr>
                <w:rFonts w:ascii="Verdana" w:hAnsi="Verdana"/>
                <w:sz w:val="18"/>
                <w:szCs w:val="18"/>
              </w:rPr>
              <w:fldChar w:fldCharType="end"/>
            </w:r>
          </w:p>
        </w:tc>
        <w:tc>
          <w:tcPr>
            <w:tcW w:w="2268" w:type="dxa"/>
            <w:tcBorders>
              <w:top w:val="nil"/>
              <w:left w:val="single" w:sz="6" w:space="0" w:color="auto"/>
              <w:bottom w:val="single" w:sz="12" w:space="0" w:color="auto"/>
              <w:right w:val="nil"/>
            </w:tcBorders>
          </w:tcPr>
          <w:p w:rsidR="001C0FFA" w:rsidRPr="00B579ED" w14:paraId="17BE90A5" w14:textId="77777777">
            <w:pPr>
              <w:rPr>
                <w:rFonts w:ascii="Verdana" w:hAnsi="Verdana"/>
                <w:sz w:val="20"/>
              </w:rPr>
            </w:pPr>
            <w:r w:rsidRPr="00B579ED">
              <w:rPr>
                <w:rFonts w:ascii="Verdana" w:hAnsi="Verdana"/>
                <w:sz w:val="16"/>
              </w:rPr>
              <w:t>Skrevet av:</w:t>
            </w:r>
          </w:p>
          <w:p w:rsidR="001C0FFA" w:rsidRPr="00B579ED" w14:paraId="17BE90A6" w14:textId="77777777">
            <w:pPr>
              <w:jc w:val="center"/>
              <w:rPr>
                <w:rFonts w:ascii="Verdana" w:hAnsi="Verdana"/>
                <w:sz w:val="20"/>
              </w:rPr>
            </w:pPr>
            <w:r w:rsidRPr="00B579ED">
              <w:rPr>
                <w:rFonts w:ascii="Verdana" w:hAnsi="Verdana"/>
                <w:sz w:val="18"/>
                <w:szCs w:val="18"/>
              </w:rPr>
              <w:fldChar w:fldCharType="begin" w:fldLock="1"/>
            </w:r>
            <w:r w:rsidRPr="00B579ED">
              <w:rPr>
                <w:rFonts w:ascii="Verdana" w:hAnsi="Verdana"/>
                <w:color w:val="000080"/>
                <w:sz w:val="18"/>
                <w:szCs w:val="18"/>
              </w:rPr>
              <w:instrText xml:space="preserve"> DOCPROPERTY EK_SkrevetAv </w:instrText>
            </w:r>
            <w:r w:rsidRPr="00B579ED">
              <w:rPr>
                <w:rFonts w:ascii="Verdana" w:hAnsi="Verdana"/>
                <w:sz w:val="18"/>
                <w:szCs w:val="18"/>
              </w:rPr>
              <w:fldChar w:fldCharType="separate"/>
            </w:r>
            <w:r w:rsidRPr="00B579ED">
              <w:rPr>
                <w:rFonts w:ascii="Verdana" w:hAnsi="Verdana"/>
                <w:color w:val="000080"/>
                <w:sz w:val="18"/>
                <w:szCs w:val="18"/>
              </w:rPr>
              <w:t>Hans Tore Mikkelsen</w:t>
            </w:r>
            <w:r w:rsidRPr="00B579ED">
              <w:rPr>
                <w:rFonts w:ascii="Verdana" w:hAnsi="Verdana"/>
                <w:sz w:val="18"/>
                <w:szCs w:val="18"/>
              </w:rPr>
              <w:fldChar w:fldCharType="end"/>
            </w:r>
          </w:p>
        </w:tc>
        <w:tc>
          <w:tcPr>
            <w:tcW w:w="1417" w:type="dxa"/>
            <w:tcBorders>
              <w:top w:val="nil"/>
              <w:left w:val="single" w:sz="6" w:space="0" w:color="auto"/>
              <w:bottom w:val="single" w:sz="12" w:space="0" w:color="auto"/>
              <w:right w:val="nil"/>
            </w:tcBorders>
          </w:tcPr>
          <w:p w:rsidR="001C0FFA" w:rsidRPr="00B579ED" w14:paraId="17BE90A7" w14:textId="77777777">
            <w:pPr>
              <w:rPr>
                <w:rFonts w:ascii="Verdana" w:hAnsi="Verdana"/>
                <w:sz w:val="16"/>
              </w:rPr>
            </w:pPr>
            <w:r w:rsidRPr="00B579ED">
              <w:rPr>
                <w:rFonts w:ascii="Verdana" w:hAnsi="Verdana"/>
                <w:sz w:val="16"/>
              </w:rPr>
              <w:t>Gjelder fra:</w:t>
            </w:r>
          </w:p>
          <w:p w:rsidR="001C0FFA" w:rsidRPr="00B579ED" w14:paraId="17BE90A8" w14:textId="77777777">
            <w:pPr>
              <w:jc w:val="center"/>
              <w:rPr>
                <w:rFonts w:ascii="Verdana" w:hAnsi="Verdana"/>
                <w:sz w:val="20"/>
              </w:rPr>
            </w:pPr>
            <w:r w:rsidRPr="00B579ED">
              <w:rPr>
                <w:rFonts w:ascii="Verdana" w:hAnsi="Verdana"/>
                <w:sz w:val="18"/>
                <w:szCs w:val="18"/>
              </w:rPr>
              <w:fldChar w:fldCharType="begin" w:fldLock="1"/>
            </w:r>
            <w:r w:rsidRPr="00B579ED">
              <w:rPr>
                <w:rFonts w:ascii="Verdana" w:hAnsi="Verdana"/>
                <w:color w:val="000080"/>
                <w:sz w:val="18"/>
                <w:szCs w:val="18"/>
              </w:rPr>
              <w:instrText xml:space="preserve"> DOCPROPERTY EK_GjelderFra </w:instrText>
            </w:r>
            <w:r w:rsidRPr="00B579ED">
              <w:rPr>
                <w:rFonts w:ascii="Verdana" w:hAnsi="Verdana"/>
                <w:sz w:val="18"/>
                <w:szCs w:val="18"/>
              </w:rPr>
              <w:fldChar w:fldCharType="separate"/>
            </w:r>
            <w:r w:rsidRPr="00B579ED">
              <w:rPr>
                <w:rFonts w:ascii="Verdana" w:hAnsi="Verdana"/>
                <w:color w:val="000080"/>
                <w:sz w:val="18"/>
                <w:szCs w:val="18"/>
              </w:rPr>
              <w:t>02.11.2023</w:t>
            </w:r>
            <w:r w:rsidRPr="00B579ED">
              <w:rPr>
                <w:rFonts w:ascii="Verdana" w:hAnsi="Verdana"/>
                <w:sz w:val="18"/>
                <w:szCs w:val="18"/>
              </w:rPr>
              <w:fldChar w:fldCharType="end"/>
            </w:r>
          </w:p>
        </w:tc>
        <w:tc>
          <w:tcPr>
            <w:tcW w:w="2410" w:type="dxa"/>
            <w:tcBorders>
              <w:top w:val="nil"/>
              <w:left w:val="single" w:sz="6" w:space="0" w:color="auto"/>
              <w:bottom w:val="single" w:sz="12" w:space="0" w:color="auto"/>
              <w:right w:val="nil"/>
            </w:tcBorders>
          </w:tcPr>
          <w:p w:rsidR="001C0FFA" w:rsidRPr="00B579ED" w14:paraId="17BE90A9" w14:textId="77777777">
            <w:pPr>
              <w:rPr>
                <w:rFonts w:ascii="Verdana" w:hAnsi="Verdana"/>
                <w:color w:val="000080"/>
                <w:sz w:val="20"/>
              </w:rPr>
            </w:pPr>
            <w:r w:rsidRPr="00B579ED">
              <w:rPr>
                <w:rFonts w:ascii="Verdana" w:hAnsi="Verdana"/>
                <w:sz w:val="16"/>
              </w:rPr>
              <w:t>Godkjent av:</w:t>
            </w:r>
          </w:p>
          <w:p w:rsidR="001C0FFA" w:rsidRPr="00B579ED" w14:paraId="17BE90AA" w14:textId="77777777">
            <w:pPr>
              <w:jc w:val="center"/>
              <w:rPr>
                <w:rFonts w:ascii="Verdana" w:hAnsi="Verdana"/>
                <w:sz w:val="18"/>
                <w:szCs w:val="18"/>
              </w:rPr>
            </w:pPr>
            <w:r w:rsidRPr="00B579ED">
              <w:rPr>
                <w:rFonts w:ascii="Verdana" w:hAnsi="Verdana"/>
                <w:sz w:val="18"/>
                <w:szCs w:val="18"/>
              </w:rPr>
              <w:fldChar w:fldCharType="begin" w:fldLock="1"/>
            </w:r>
            <w:r w:rsidRPr="00B579ED">
              <w:rPr>
                <w:rFonts w:ascii="Verdana" w:hAnsi="Verdana"/>
                <w:color w:val="000080"/>
                <w:sz w:val="18"/>
                <w:szCs w:val="18"/>
              </w:rPr>
              <w:instrText xml:space="preserve"> DOCPROPERTY EK_Signatur </w:instrText>
            </w:r>
            <w:r w:rsidRPr="00B579ED">
              <w:rPr>
                <w:rFonts w:ascii="Verdana" w:hAnsi="Verdana"/>
                <w:sz w:val="18"/>
                <w:szCs w:val="18"/>
              </w:rPr>
              <w:fldChar w:fldCharType="separate"/>
            </w:r>
            <w:r w:rsidRPr="00B579ED">
              <w:rPr>
                <w:rFonts w:ascii="Verdana" w:hAnsi="Verdana"/>
                <w:color w:val="000080"/>
                <w:sz w:val="18"/>
                <w:szCs w:val="18"/>
              </w:rPr>
              <w:t>Svein Ove Dyrdal</w:t>
            </w:r>
            <w:r w:rsidRPr="00B579ED">
              <w:rPr>
                <w:rFonts w:ascii="Verdana" w:hAnsi="Verdana"/>
                <w:sz w:val="18"/>
                <w:szCs w:val="18"/>
              </w:rPr>
              <w:fldChar w:fldCharType="end"/>
            </w:r>
          </w:p>
        </w:tc>
        <w:tc>
          <w:tcPr>
            <w:tcW w:w="2126" w:type="dxa"/>
            <w:tcBorders>
              <w:top w:val="nil"/>
              <w:left w:val="single" w:sz="6" w:space="0" w:color="auto"/>
              <w:bottom w:val="single" w:sz="12" w:space="0" w:color="auto"/>
            </w:tcBorders>
          </w:tcPr>
          <w:p w:rsidR="001C0FFA" w:rsidRPr="00B579ED" w14:paraId="17BE90AB" w14:textId="77777777">
            <w:pPr>
              <w:rPr>
                <w:rFonts w:ascii="Verdana" w:hAnsi="Verdana"/>
                <w:sz w:val="20"/>
              </w:rPr>
            </w:pPr>
            <w:r w:rsidRPr="00B579ED">
              <w:rPr>
                <w:rFonts w:ascii="Verdana" w:hAnsi="Verdana"/>
                <w:sz w:val="16"/>
              </w:rPr>
              <w:t>Sidenr:</w:t>
            </w:r>
          </w:p>
          <w:p w:rsidR="001C0FFA" w:rsidRPr="00B579ED" w14:paraId="17BE90AC" w14:textId="77777777">
            <w:pPr>
              <w:jc w:val="center"/>
              <w:rPr>
                <w:rFonts w:ascii="Verdana" w:hAnsi="Verdana"/>
              </w:rPr>
            </w:pPr>
            <w:r w:rsidRPr="00B579ED">
              <w:rPr>
                <w:rFonts w:ascii="Verdana" w:hAnsi="Verdana"/>
                <w:sz w:val="18"/>
                <w:szCs w:val="18"/>
              </w:rPr>
              <w:fldChar w:fldCharType="begin"/>
            </w:r>
            <w:r w:rsidRPr="00B579ED">
              <w:rPr>
                <w:rFonts w:ascii="Verdana" w:hAnsi="Verdana"/>
                <w:sz w:val="18"/>
                <w:szCs w:val="18"/>
              </w:rPr>
              <w:instrText xml:space="preserve">PAGE </w:instrText>
            </w:r>
            <w:r w:rsidRPr="00B579ED">
              <w:rPr>
                <w:rFonts w:ascii="Verdana" w:hAnsi="Verdana"/>
                <w:sz w:val="18"/>
                <w:szCs w:val="18"/>
              </w:rPr>
              <w:fldChar w:fldCharType="separate"/>
            </w:r>
            <w:r w:rsidRPr="00B579ED">
              <w:rPr>
                <w:rFonts w:ascii="Verdana" w:hAnsi="Verdana"/>
                <w:sz w:val="18"/>
                <w:szCs w:val="18"/>
              </w:rPr>
              <w:t>1</w:t>
            </w:r>
            <w:r w:rsidRPr="00B579ED">
              <w:rPr>
                <w:rFonts w:ascii="Verdana" w:hAnsi="Verdana"/>
                <w:sz w:val="18"/>
                <w:szCs w:val="18"/>
              </w:rPr>
              <w:fldChar w:fldCharType="end"/>
            </w:r>
            <w:r w:rsidRPr="00B579ED">
              <w:rPr>
                <w:rFonts w:ascii="Verdana" w:hAnsi="Verdana"/>
                <w:sz w:val="18"/>
                <w:szCs w:val="18"/>
              </w:rPr>
              <w:t xml:space="preserve"> av </w:t>
            </w:r>
            <w:r w:rsidRPr="00B579ED">
              <w:rPr>
                <w:rFonts w:ascii="Verdana" w:hAnsi="Verdana"/>
                <w:sz w:val="18"/>
                <w:szCs w:val="18"/>
              </w:rPr>
              <w:fldChar w:fldCharType="begin"/>
            </w:r>
            <w:r w:rsidRPr="00B579ED">
              <w:rPr>
                <w:rFonts w:ascii="Verdana" w:hAnsi="Verdana"/>
                <w:sz w:val="18"/>
                <w:szCs w:val="18"/>
              </w:rPr>
              <w:instrText>NUMPAGES</w:instrText>
            </w:r>
            <w:r w:rsidRPr="00B579ED">
              <w:rPr>
                <w:rFonts w:ascii="Verdana" w:hAnsi="Verdana"/>
                <w:sz w:val="18"/>
                <w:szCs w:val="18"/>
              </w:rPr>
              <w:fldChar w:fldCharType="separate"/>
            </w:r>
            <w:r w:rsidRPr="00B579ED">
              <w:rPr>
                <w:rFonts w:ascii="Verdana" w:hAnsi="Verdana"/>
                <w:sz w:val="18"/>
                <w:szCs w:val="18"/>
              </w:rPr>
              <w:t>2</w:t>
            </w:r>
            <w:r w:rsidRPr="00B579ED">
              <w:rPr>
                <w:rFonts w:ascii="Verdana" w:hAnsi="Verdana"/>
                <w:sz w:val="18"/>
                <w:szCs w:val="18"/>
              </w:rPr>
              <w:fldChar w:fldCharType="end"/>
            </w:r>
          </w:p>
        </w:tc>
      </w:tr>
    </w:tbl>
    <w:p w:rsidR="00C77696" w:rsidRPr="00B579ED" w:rsidP="00C77696" w14:paraId="45F24EF4" w14:textId="070FFDA7">
      <w:pPr>
        <w:spacing w:before="480" w:after="120"/>
        <w:jc w:val="both"/>
        <w:rPr>
          <w:rFonts w:ascii="Verdana" w:hAnsi="Verdana"/>
          <w:b/>
          <w:bCs/>
          <w:szCs w:val="24"/>
        </w:rPr>
      </w:pPr>
      <w:r w:rsidRPr="00B579ED">
        <w:rPr>
          <w:rFonts w:ascii="Verdana" w:hAnsi="Verdana"/>
          <w:b/>
          <w:bCs/>
          <w:szCs w:val="24"/>
        </w:rPr>
        <w:t>3.</w:t>
      </w:r>
      <w:r>
        <w:rPr>
          <w:rFonts w:ascii="Verdana" w:hAnsi="Verdana"/>
          <w:b/>
          <w:bCs/>
          <w:szCs w:val="24"/>
        </w:rPr>
        <w:t>2</w:t>
      </w:r>
      <w:r w:rsidRPr="00B579ED">
        <w:rPr>
          <w:rFonts w:ascii="Verdana" w:hAnsi="Verdana"/>
          <w:b/>
          <w:bCs/>
          <w:szCs w:val="24"/>
        </w:rPr>
        <w:t xml:space="preserve"> Planlegging </w:t>
      </w:r>
    </w:p>
    <w:p w:rsidR="00C77696" w:rsidRPr="00B579ED" w:rsidP="00C77696" w14:paraId="7BCBC57F" w14:textId="2C552427">
      <w:pPr>
        <w:spacing w:before="120" w:after="120"/>
        <w:jc w:val="both"/>
        <w:rPr>
          <w:rFonts w:ascii="Verdana" w:hAnsi="Verdana"/>
          <w:b/>
          <w:bCs/>
          <w:sz w:val="22"/>
          <w:szCs w:val="22"/>
        </w:rPr>
      </w:pPr>
      <w:r w:rsidRPr="00B579ED">
        <w:rPr>
          <w:rFonts w:ascii="Verdana" w:hAnsi="Verdana"/>
          <w:b/>
          <w:bCs/>
          <w:sz w:val="22"/>
          <w:szCs w:val="22"/>
        </w:rPr>
        <w:t>3.</w:t>
      </w:r>
      <w:r>
        <w:rPr>
          <w:rFonts w:ascii="Verdana" w:hAnsi="Verdana"/>
          <w:b/>
          <w:bCs/>
          <w:sz w:val="22"/>
          <w:szCs w:val="22"/>
        </w:rPr>
        <w:t>2</w:t>
      </w:r>
      <w:r w:rsidRPr="00B579ED">
        <w:rPr>
          <w:rFonts w:ascii="Verdana" w:hAnsi="Verdana"/>
          <w:b/>
          <w:bCs/>
          <w:sz w:val="22"/>
          <w:szCs w:val="22"/>
        </w:rPr>
        <w:t xml:space="preserve">.1 Generelt </w:t>
      </w:r>
    </w:p>
    <w:p w:rsidR="00C77696" w:rsidRPr="00B579ED" w:rsidP="00C77696" w14:paraId="536497B1" w14:textId="77777777">
      <w:pPr>
        <w:spacing w:before="120" w:after="120"/>
        <w:jc w:val="both"/>
        <w:rPr>
          <w:rFonts w:ascii="Verdana" w:hAnsi="Verdana"/>
          <w:sz w:val="18"/>
          <w:szCs w:val="18"/>
        </w:rPr>
      </w:pPr>
      <w:r w:rsidRPr="00B579ED">
        <w:rPr>
          <w:rFonts w:ascii="Verdana" w:hAnsi="Verdana"/>
          <w:sz w:val="18"/>
          <w:szCs w:val="18"/>
        </w:rPr>
        <w:t xml:space="preserve">Ledelsen skal påse at planlegging av kurs skal gjøres i samarbeid med næringen, Sjøfartsdirektoratet og i enkelte tilfeller opplæringskontorene. Kursutvikling skal skje etter behov som dukker opp i næringen, og av </w:t>
      </w:r>
      <w:r w:rsidRPr="00B579ED">
        <w:rPr>
          <w:rFonts w:ascii="Verdana" w:hAnsi="Verdana"/>
          <w:sz w:val="18"/>
          <w:szCs w:val="18"/>
        </w:rPr>
        <w:t>andre grunner som fører til økt sikkerhet. I tillegg skal kurs utvikles når det kommer nye krav fra IMO (STCW - konvensjonen) eller andre nasjonale/internasjonale lover, regler og forskrifter.</w:t>
      </w:r>
    </w:p>
    <w:p w:rsidR="00C77696" w:rsidRPr="00B579ED" w:rsidP="00C77696" w14:paraId="35E4F376" w14:textId="77777777">
      <w:pPr>
        <w:spacing w:before="120" w:after="120"/>
        <w:jc w:val="both"/>
        <w:rPr>
          <w:rFonts w:ascii="Verdana" w:hAnsi="Verdana"/>
          <w:sz w:val="18"/>
          <w:szCs w:val="18"/>
        </w:rPr>
      </w:pPr>
      <w:r w:rsidRPr="00B579ED">
        <w:rPr>
          <w:rFonts w:ascii="Verdana" w:hAnsi="Verdana"/>
          <w:sz w:val="18"/>
          <w:szCs w:val="18"/>
        </w:rPr>
        <w:t>Ledelsen planlegger skoleåret ut fra de rammer og ressurser som</w:t>
      </w:r>
      <w:r w:rsidRPr="00B579ED">
        <w:rPr>
          <w:rFonts w:ascii="Verdana" w:hAnsi="Verdana"/>
          <w:sz w:val="18"/>
          <w:szCs w:val="18"/>
        </w:rPr>
        <w:t xml:space="preserve"> tildeles skolen fra TFK og gjeldene lov og regelverk. Opplæringen gjennomføres slik den er planlagt ut fra reglement og de rutiner og prosedyrer som finnes. Blant annet:</w:t>
      </w:r>
    </w:p>
    <w:p w:rsidR="00C77696" w:rsidRPr="00B579ED" w:rsidP="00C77696" w14:paraId="2B5CB7BB" w14:textId="77777777">
      <w:pPr>
        <w:spacing w:before="120" w:after="120"/>
        <w:jc w:val="both"/>
        <w:rPr>
          <w:rFonts w:ascii="Verdana" w:hAnsi="Verdana"/>
          <w:sz w:val="18"/>
          <w:szCs w:val="18"/>
        </w:rPr>
      </w:pPr>
      <w:r w:rsidRPr="00B579ED">
        <w:rPr>
          <w:rFonts w:ascii="Verdana" w:hAnsi="Verdana"/>
          <w:sz w:val="18"/>
          <w:szCs w:val="18"/>
        </w:rPr>
        <w:tab/>
      </w:r>
      <w:r w:rsidRPr="00B579ED">
        <w:rPr>
          <w:rFonts w:ascii="Verdana" w:hAnsi="Verdana"/>
          <w:sz w:val="18"/>
          <w:szCs w:val="18"/>
        </w:rPr>
        <w:tab/>
      </w:r>
    </w:p>
    <w:p w:rsidR="00C77696" w:rsidRPr="00B579ED" w:rsidP="00C77696" w14:paraId="4154B9EC" w14:textId="39B77A2E">
      <w:pPr>
        <w:spacing w:before="120" w:after="120"/>
        <w:jc w:val="both"/>
        <w:rPr>
          <w:rFonts w:ascii="Verdana" w:hAnsi="Verdana"/>
          <w:b/>
          <w:bCs/>
          <w:sz w:val="22"/>
          <w:szCs w:val="22"/>
        </w:rPr>
      </w:pPr>
      <w:r w:rsidRPr="00B579ED">
        <w:rPr>
          <w:rFonts w:ascii="Verdana" w:hAnsi="Verdana"/>
          <w:b/>
          <w:bCs/>
          <w:sz w:val="22"/>
          <w:szCs w:val="22"/>
        </w:rPr>
        <w:t>3.</w:t>
      </w:r>
      <w:r>
        <w:rPr>
          <w:rFonts w:ascii="Verdana" w:hAnsi="Verdana"/>
          <w:b/>
          <w:bCs/>
          <w:sz w:val="22"/>
          <w:szCs w:val="22"/>
        </w:rPr>
        <w:t>2</w:t>
      </w:r>
      <w:r w:rsidRPr="00B579ED">
        <w:rPr>
          <w:rFonts w:ascii="Verdana" w:hAnsi="Verdana"/>
          <w:b/>
          <w:bCs/>
          <w:sz w:val="22"/>
          <w:szCs w:val="22"/>
        </w:rPr>
        <w:t xml:space="preserve">.2 Administrering ved utvikling av nye tilbud </w:t>
      </w:r>
    </w:p>
    <w:p w:rsidR="00C77696" w:rsidRPr="00B579ED" w:rsidP="00C77696" w14:paraId="6A6D7616" w14:textId="77777777">
      <w:pPr>
        <w:spacing w:before="120" w:after="120"/>
        <w:jc w:val="both"/>
        <w:rPr>
          <w:rFonts w:ascii="Verdana" w:hAnsi="Verdana"/>
          <w:sz w:val="18"/>
          <w:szCs w:val="18"/>
        </w:rPr>
      </w:pPr>
      <w:r w:rsidRPr="00B579ED">
        <w:rPr>
          <w:rFonts w:ascii="Verdana" w:hAnsi="Verdana"/>
          <w:sz w:val="18"/>
          <w:szCs w:val="18"/>
        </w:rPr>
        <w:t>Krav til nye tilbud settes av NO</w:t>
      </w:r>
      <w:r w:rsidRPr="00B579ED">
        <w:rPr>
          <w:rFonts w:ascii="Verdana" w:hAnsi="Verdana"/>
          <w:sz w:val="18"/>
          <w:szCs w:val="18"/>
        </w:rPr>
        <w:t>KUT og Sjøfartsdirektoratet (på de maritime linjene)</w:t>
      </w:r>
    </w:p>
    <w:p w:rsidR="00C77696" w:rsidRPr="00B579ED" w:rsidP="00C77696" w14:paraId="045824A7" w14:textId="77777777">
      <w:pPr>
        <w:spacing w:before="120" w:after="120"/>
        <w:jc w:val="both"/>
        <w:rPr>
          <w:rFonts w:ascii="Verdana" w:hAnsi="Verdana"/>
          <w:sz w:val="18"/>
          <w:szCs w:val="18"/>
        </w:rPr>
      </w:pPr>
      <w:r w:rsidRPr="00B579ED">
        <w:rPr>
          <w:rFonts w:ascii="Verdana" w:hAnsi="Verdana"/>
          <w:sz w:val="18"/>
          <w:szCs w:val="18"/>
        </w:rPr>
        <w:t>Skolen kan ikke selv fastsette kravene til opplæring uten sentrale godkjenninger. Det er ikke skolen som bestemmer hva en skal inneholde på de studiene som krever godkjenning og sertifisering fra Sjøfart</w:t>
      </w:r>
      <w:r w:rsidRPr="00B579ED">
        <w:rPr>
          <w:rFonts w:ascii="Verdana" w:hAnsi="Verdana"/>
          <w:sz w:val="18"/>
          <w:szCs w:val="18"/>
        </w:rPr>
        <w:t>sdirektoratet. Dette vil si at alt av kriterier, både når det gjelder forutsetninger og innhold, bestemmes av myndigheter, og en eventuell ny utvikling må følge de krav og retningslinjer som gis av dem. Alt av kriterier, innhold og veiledning for utvikling</w:t>
      </w:r>
      <w:r w:rsidRPr="00B579ED">
        <w:rPr>
          <w:rFonts w:ascii="Verdana" w:hAnsi="Verdana"/>
          <w:sz w:val="18"/>
          <w:szCs w:val="18"/>
        </w:rPr>
        <w:t xml:space="preserve"> gis av NOKUT og eventuelt Sjøfartsdirektoratet.</w:t>
      </w:r>
    </w:p>
    <w:p w:rsidR="00C77696" w:rsidRPr="00B579ED" w:rsidP="00C77696" w14:paraId="6B27FC38" w14:textId="77777777">
      <w:pPr>
        <w:spacing w:before="120" w:after="120"/>
        <w:jc w:val="both"/>
        <w:rPr>
          <w:rFonts w:ascii="Verdana" w:hAnsi="Verdana"/>
          <w:sz w:val="18"/>
          <w:szCs w:val="18"/>
        </w:rPr>
      </w:pPr>
      <w:r w:rsidRPr="00B579ED">
        <w:rPr>
          <w:rFonts w:ascii="Verdana" w:hAnsi="Verdana"/>
          <w:sz w:val="18"/>
          <w:szCs w:val="18"/>
        </w:rPr>
        <w:t>En fullstendig NOKUT- godkjent studieplan skal være på plass før et nytt utdanningstilbud kan gis. Alle grunnleggende forutsetninger må være på plass før NOKUT vurderer en ny søknad om godkjenning.</w:t>
      </w:r>
    </w:p>
    <w:p w:rsidR="00C77696" w:rsidRPr="00B579ED" w:rsidP="00C77696" w14:paraId="4A0A9E5D" w14:textId="77777777">
      <w:pPr>
        <w:spacing w:before="120" w:after="120"/>
        <w:jc w:val="both"/>
        <w:rPr>
          <w:rFonts w:ascii="Verdana" w:hAnsi="Verdana"/>
          <w:sz w:val="18"/>
          <w:szCs w:val="18"/>
        </w:rPr>
      </w:pPr>
      <w:r w:rsidRPr="00B579ED">
        <w:rPr>
          <w:rFonts w:ascii="Verdana" w:hAnsi="Verdana"/>
          <w:sz w:val="18"/>
          <w:szCs w:val="18"/>
        </w:rPr>
        <w:t>Sjøfartsd</w:t>
      </w:r>
      <w:r w:rsidRPr="00B579ED">
        <w:rPr>
          <w:rFonts w:ascii="Verdana" w:hAnsi="Verdana"/>
          <w:sz w:val="18"/>
          <w:szCs w:val="18"/>
        </w:rPr>
        <w:t xml:space="preserve">irektoratet krever at skolen er NOKUT- godkjent før de behandler en søknad. </w:t>
      </w:r>
    </w:p>
    <w:p w:rsidR="00C77696" w:rsidRPr="00B579ED" w:rsidP="00C77696" w14:paraId="30A672AE" w14:textId="7C8A4883">
      <w:pPr>
        <w:spacing w:before="120" w:after="120"/>
        <w:jc w:val="both"/>
        <w:rPr>
          <w:rFonts w:ascii="Verdana" w:hAnsi="Verdana"/>
          <w:sz w:val="18"/>
          <w:szCs w:val="18"/>
        </w:rPr>
      </w:pPr>
    </w:p>
    <w:p w:rsidR="00C77696" w:rsidRPr="00B579ED" w:rsidP="00C77696" w14:paraId="630E404A" w14:textId="2BB9C1DD">
      <w:pPr>
        <w:spacing w:before="120" w:after="120"/>
        <w:jc w:val="both"/>
        <w:rPr>
          <w:rFonts w:ascii="Verdana" w:hAnsi="Verdana"/>
          <w:b/>
          <w:bCs/>
          <w:sz w:val="22"/>
          <w:szCs w:val="22"/>
        </w:rPr>
      </w:pPr>
      <w:r w:rsidRPr="00B579ED">
        <w:rPr>
          <w:rFonts w:ascii="Verdana" w:hAnsi="Verdana"/>
          <w:b/>
          <w:bCs/>
          <w:sz w:val="22"/>
          <w:szCs w:val="22"/>
        </w:rPr>
        <w:t>3.</w:t>
      </w:r>
      <w:r>
        <w:rPr>
          <w:rFonts w:ascii="Verdana" w:hAnsi="Verdana"/>
          <w:b/>
          <w:bCs/>
          <w:sz w:val="22"/>
          <w:szCs w:val="22"/>
        </w:rPr>
        <w:t>2</w:t>
      </w:r>
      <w:r w:rsidRPr="00B579ED">
        <w:rPr>
          <w:rFonts w:ascii="Verdana" w:hAnsi="Verdana"/>
          <w:b/>
          <w:bCs/>
          <w:sz w:val="22"/>
          <w:szCs w:val="22"/>
        </w:rPr>
        <w:t xml:space="preserve">.3 Krav til nye tilbud </w:t>
      </w:r>
    </w:p>
    <w:p w:rsidR="00C77696" w:rsidRPr="00B579ED" w:rsidP="00C77696" w14:paraId="34C54F85" w14:textId="77777777">
      <w:pPr>
        <w:spacing w:before="120" w:after="120"/>
        <w:jc w:val="both"/>
        <w:rPr>
          <w:rFonts w:ascii="Verdana" w:hAnsi="Verdana"/>
          <w:sz w:val="18"/>
          <w:szCs w:val="18"/>
        </w:rPr>
      </w:pPr>
      <w:r w:rsidRPr="00B579ED">
        <w:rPr>
          <w:rFonts w:ascii="Verdana" w:hAnsi="Verdana"/>
          <w:sz w:val="18"/>
          <w:szCs w:val="18"/>
        </w:rPr>
        <w:t xml:space="preserve">Nye tilbud skal lages i en form som gjør det mulig å verifisere opp mot lover og krav og skal være godkjent før bruk. Utvikling av nye tilbud </w:t>
      </w:r>
      <w:r w:rsidRPr="00B579ED">
        <w:rPr>
          <w:rFonts w:ascii="Verdana" w:hAnsi="Verdana"/>
          <w:sz w:val="18"/>
          <w:szCs w:val="18"/>
        </w:rPr>
        <w:t>skal: (for evaluering/undersøkelser se 5.1)</w:t>
      </w:r>
    </w:p>
    <w:p w:rsidR="00C77696" w:rsidRPr="00B579ED" w:rsidP="00C77696" w14:paraId="5BB36430" w14:textId="77777777">
      <w:pPr>
        <w:spacing w:before="120" w:after="120"/>
        <w:contextualSpacing/>
        <w:jc w:val="both"/>
        <w:rPr>
          <w:rFonts w:ascii="Verdana" w:hAnsi="Verdana"/>
          <w:sz w:val="18"/>
          <w:szCs w:val="18"/>
        </w:rPr>
      </w:pPr>
      <w:r w:rsidRPr="00B579ED">
        <w:rPr>
          <w:rFonts w:ascii="Verdana" w:hAnsi="Verdana"/>
          <w:sz w:val="18"/>
          <w:szCs w:val="18"/>
        </w:rPr>
        <w:t>•</w:t>
      </w:r>
      <w:r w:rsidRPr="00B579ED">
        <w:rPr>
          <w:rFonts w:ascii="Verdana" w:hAnsi="Verdana"/>
          <w:sz w:val="18"/>
          <w:szCs w:val="18"/>
        </w:rPr>
        <w:tab/>
        <w:t>Møte lover og krav</w:t>
      </w:r>
    </w:p>
    <w:p w:rsidR="00C77696" w:rsidRPr="00B579ED" w:rsidP="00C77696" w14:paraId="0C177A8E" w14:textId="77777777">
      <w:pPr>
        <w:spacing w:before="120" w:after="120"/>
        <w:contextualSpacing/>
        <w:jc w:val="both"/>
        <w:rPr>
          <w:rFonts w:ascii="Verdana" w:hAnsi="Verdana"/>
          <w:sz w:val="18"/>
          <w:szCs w:val="18"/>
        </w:rPr>
      </w:pPr>
      <w:r w:rsidRPr="00B579ED">
        <w:rPr>
          <w:rFonts w:ascii="Verdana" w:hAnsi="Verdana"/>
          <w:sz w:val="18"/>
          <w:szCs w:val="18"/>
        </w:rPr>
        <w:t>•</w:t>
      </w:r>
      <w:r w:rsidRPr="00B579ED">
        <w:rPr>
          <w:rFonts w:ascii="Verdana" w:hAnsi="Verdana"/>
          <w:sz w:val="18"/>
          <w:szCs w:val="18"/>
        </w:rPr>
        <w:tab/>
        <w:t>Gi nødvendig informasjon om innkjøp</w:t>
      </w:r>
    </w:p>
    <w:p w:rsidR="00C77696" w:rsidRPr="00B579ED" w:rsidP="00C77696" w14:paraId="7BC54963" w14:textId="77777777">
      <w:pPr>
        <w:spacing w:before="120" w:after="120"/>
        <w:contextualSpacing/>
        <w:jc w:val="both"/>
        <w:rPr>
          <w:rFonts w:ascii="Verdana" w:hAnsi="Verdana"/>
          <w:sz w:val="18"/>
          <w:szCs w:val="18"/>
        </w:rPr>
      </w:pPr>
      <w:r w:rsidRPr="00B579ED">
        <w:rPr>
          <w:rFonts w:ascii="Verdana" w:hAnsi="Verdana"/>
          <w:sz w:val="18"/>
          <w:szCs w:val="18"/>
        </w:rPr>
        <w:t>•</w:t>
      </w:r>
      <w:r w:rsidRPr="00B579ED">
        <w:rPr>
          <w:rFonts w:ascii="Verdana" w:hAnsi="Verdana"/>
          <w:sz w:val="18"/>
          <w:szCs w:val="18"/>
        </w:rPr>
        <w:tab/>
        <w:t xml:space="preserve">Angi sikkerhetsaspekter knyttet til det nye tilbudet. </w:t>
      </w:r>
    </w:p>
    <w:p w:rsidR="00C77696" w:rsidRPr="00B579ED" w:rsidP="00C77696" w14:paraId="5A9D56D2" w14:textId="77777777">
      <w:pPr>
        <w:spacing w:before="120" w:after="120"/>
        <w:jc w:val="both"/>
        <w:rPr>
          <w:rFonts w:ascii="Verdana" w:hAnsi="Verdana"/>
          <w:sz w:val="18"/>
          <w:szCs w:val="18"/>
        </w:rPr>
      </w:pPr>
      <w:r w:rsidRPr="00B579ED">
        <w:rPr>
          <w:rFonts w:ascii="Verdana" w:hAnsi="Verdana"/>
          <w:sz w:val="18"/>
          <w:szCs w:val="18"/>
        </w:rPr>
        <w:t>Alle krav/informasjon til utdanningen er beskrevet i studieplanen for studentene. Denne studiepl</w:t>
      </w:r>
      <w:r w:rsidRPr="00B579ED">
        <w:rPr>
          <w:rFonts w:ascii="Verdana" w:hAnsi="Verdana"/>
          <w:sz w:val="18"/>
          <w:szCs w:val="18"/>
        </w:rPr>
        <w:t>anen godkjennes av både NOKUT og Sjøfartsdirektoratet før den kan tas i bruk.</w:t>
      </w:r>
    </w:p>
    <w:p w:rsidR="00C77696" w:rsidRPr="00B579ED" w:rsidP="00C77696" w14:paraId="611899DE" w14:textId="77777777">
      <w:pPr>
        <w:spacing w:before="120" w:after="120"/>
        <w:jc w:val="both"/>
        <w:rPr>
          <w:rFonts w:ascii="Verdana" w:hAnsi="Verdana"/>
          <w:sz w:val="18"/>
          <w:szCs w:val="18"/>
        </w:rPr>
      </w:pPr>
    </w:p>
    <w:p w:rsidR="00C77696" w:rsidRPr="00B579ED" w:rsidP="00C77696" w14:paraId="664D9977" w14:textId="3FE837FA">
      <w:pPr>
        <w:spacing w:before="120" w:after="120"/>
        <w:jc w:val="both"/>
        <w:rPr>
          <w:rFonts w:ascii="Verdana" w:hAnsi="Verdana"/>
          <w:b/>
          <w:bCs/>
          <w:sz w:val="22"/>
          <w:szCs w:val="22"/>
        </w:rPr>
      </w:pPr>
      <w:r>
        <w:rPr>
          <w:rFonts w:ascii="Verdana" w:hAnsi="Verdana"/>
          <w:b/>
          <w:bCs/>
          <w:sz w:val="22"/>
          <w:szCs w:val="22"/>
        </w:rPr>
        <w:br w:type="page"/>
      </w:r>
      <w:r w:rsidRPr="00B579ED">
        <w:rPr>
          <w:rFonts w:ascii="Verdana" w:hAnsi="Verdana"/>
          <w:b/>
          <w:bCs/>
          <w:sz w:val="22"/>
          <w:szCs w:val="22"/>
        </w:rPr>
        <w:t>3.</w:t>
      </w:r>
      <w:r>
        <w:rPr>
          <w:rFonts w:ascii="Verdana" w:hAnsi="Verdana"/>
          <w:b/>
          <w:bCs/>
          <w:sz w:val="22"/>
          <w:szCs w:val="22"/>
        </w:rPr>
        <w:t>2</w:t>
      </w:r>
      <w:r w:rsidRPr="00B579ED">
        <w:rPr>
          <w:rFonts w:ascii="Verdana" w:hAnsi="Verdana"/>
          <w:b/>
          <w:bCs/>
          <w:sz w:val="22"/>
          <w:szCs w:val="22"/>
        </w:rPr>
        <w:t xml:space="preserve">.4 Verifisering av nye tilbud  </w:t>
      </w:r>
    </w:p>
    <w:p w:rsidR="00C77696" w:rsidRPr="00B579ED" w:rsidP="00C77696" w14:paraId="4A055F6B" w14:textId="77777777">
      <w:pPr>
        <w:spacing w:before="120" w:after="120"/>
        <w:jc w:val="both"/>
        <w:rPr>
          <w:rFonts w:ascii="Verdana" w:hAnsi="Verdana"/>
          <w:sz w:val="18"/>
          <w:szCs w:val="18"/>
        </w:rPr>
      </w:pPr>
      <w:r w:rsidRPr="00B579ED">
        <w:rPr>
          <w:rFonts w:ascii="Verdana" w:hAnsi="Verdana"/>
          <w:sz w:val="18"/>
          <w:szCs w:val="18"/>
        </w:rPr>
        <w:t>Verifiseringen skal utføres i samsvar med etablerte prosedyrer for å sikre at resultatet har møtt kravene. Registreringer av resultat og event</w:t>
      </w:r>
      <w:r w:rsidRPr="00B579ED">
        <w:rPr>
          <w:rFonts w:ascii="Verdana" w:hAnsi="Verdana"/>
          <w:sz w:val="18"/>
          <w:szCs w:val="18"/>
        </w:rPr>
        <w:t>uelle nødvendige tiltak i.h.t prosedyre for gjennomgang av nye tilbud, skal være opprettholdt</w:t>
      </w:r>
    </w:p>
    <w:p w:rsidR="00C77696" w:rsidRPr="00B579ED" w:rsidP="00C77696" w14:paraId="600CB87B" w14:textId="77777777">
      <w:pPr>
        <w:spacing w:before="120" w:after="120"/>
        <w:jc w:val="both"/>
        <w:rPr>
          <w:rFonts w:ascii="Verdana" w:hAnsi="Verdana"/>
          <w:sz w:val="18"/>
          <w:szCs w:val="18"/>
        </w:rPr>
      </w:pPr>
    </w:p>
    <w:p w:rsidR="001C0FFA" w:rsidRPr="00B579ED" w:rsidP="00C77696" w14:paraId="17BE90B2" w14:textId="77777777">
      <w:pPr>
        <w:spacing w:before="120" w:after="120"/>
        <w:jc w:val="both"/>
        <w:rPr>
          <w:rFonts w:ascii="Verdana" w:hAnsi="Verdana"/>
          <w:sz w:val="18"/>
          <w:szCs w:val="18"/>
        </w:rPr>
      </w:pPr>
    </w:p>
    <w:p w:rsidR="001C0FFA" w:rsidRPr="00B579ED" w:rsidP="00B579ED" w14:paraId="17BE90B3" w14:textId="77777777">
      <w:pPr>
        <w:spacing w:after="120"/>
        <w:rPr>
          <w:rFonts w:ascii="Verdana" w:hAnsi="Verdana"/>
          <w:b/>
          <w:bCs/>
          <w:color w:val="808080"/>
          <w:sz w:val="18"/>
          <w:szCs w:val="18"/>
        </w:rPr>
      </w:pPr>
      <w:r w:rsidRPr="00B579ED">
        <w:rPr>
          <w:rFonts w:ascii="Verdana" w:hAnsi="Verdana"/>
          <w:b/>
          <w:bCs/>
          <w:sz w:val="22"/>
          <w:szCs w:val="22"/>
        </w:rPr>
        <w:t>Kryssreferanser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643"/>
        <w:gridCol w:w="46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numPr>
                <w:ilvl w:val="0"/>
                <w:numId w:val="0"/>
              </w:numPr>
              <w:rPr>
                <w:b w:val="0"/>
                <w:color w:val="0000FF"/>
                <w:u w:val="single"/>
              </w:rPr>
            </w:pPr>
            <w:bookmarkStart w:id="1" w:name="EK_Referanse"/>
            <w:r>
              <w:rPr>
                <w:b w:val="0"/>
                <w:color w:val="0000FF"/>
                <w:u w:val="single"/>
              </w:rPr>
              <w:t xml:space="preserve"> </w:t>
            </w:r>
          </w:p>
        </w:tc>
        <w:tc>
          <w:tcPr>
            <w:tcBorders>
              <w:top w:val="nil"/>
              <w:left w:val="nil"/>
              <w:bottom w:val="nil"/>
              <w:right w:val="nil"/>
            </w:tcBorders>
          </w:tcPr>
          <w:p>
            <w:pPr>
              <w:numPr>
                <w:ilvl w:val="0"/>
                <w:numId w:val="0"/>
              </w:numPr>
              <w:rPr>
                <w:b w:val="0"/>
                <w:color w:val="0000FF"/>
                <w:u w:val="single"/>
              </w:rPr>
            </w:pPr>
            <w:r>
              <w:rPr>
                <w:b w:val="0"/>
                <w:color w:val="0000FF"/>
                <w:u w:val="single"/>
              </w:rPr>
              <w:t xml:space="preserve"> </w:t>
            </w:r>
          </w:p>
        </w:tc>
      </w:tr>
    </w:tbl>
    <w:p w:rsidR="00C77696" w:rsidRPr="00B579ED" w14:paraId="1DEFCF7E" w14:textId="77777777">
      <w:pPr>
        <w:rPr>
          <w:rFonts w:ascii="Verdana" w:hAnsi="Verdana"/>
          <w:sz w:val="18"/>
          <w:szCs w:val="18"/>
        </w:rPr>
      </w:pPr>
      <w:bookmarkEnd w:id="1"/>
    </w:p>
    <w:p w:rsidR="001C0FFA" w:rsidRPr="00B579ED" w:rsidP="00B579ED" w14:paraId="17BE90B7" w14:textId="7D54167E">
      <w:pPr>
        <w:spacing w:after="120"/>
        <w:rPr>
          <w:rFonts w:ascii="Verdana" w:hAnsi="Verdana"/>
          <w:b/>
          <w:bCs/>
          <w:sz w:val="22"/>
          <w:szCs w:val="22"/>
        </w:rPr>
      </w:pPr>
      <w:r w:rsidRPr="00B579ED">
        <w:rPr>
          <w:rFonts w:ascii="Verdana" w:hAnsi="Verdana"/>
          <w:b/>
          <w:bCs/>
          <w:sz w:val="22"/>
          <w:szCs w:val="22"/>
        </w:rPr>
        <w:t>Eksterne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numPr>
                <w:ilvl w:val="0"/>
                <w:numId w:val="0"/>
              </w:numPr>
              <w:rPr>
                <w:b w:val="0"/>
                <w:color w:val="0000FF"/>
                <w:u w:val="single"/>
              </w:rPr>
            </w:pPr>
            <w:bookmarkStart w:id="2" w:name="EK_EksRef"/>
            <w:hyperlink r:id="rId5" w:history="1">
              <w:r>
                <w:rPr>
                  <w:b w:val="0"/>
                  <w:color w:val="0000FF"/>
                  <w:u w:val="single"/>
                </w:rPr>
                <w:t>.22.4 DNV-ST-0029-MTP, Section 4 Development and maintenance</w:t>
              </w:r>
            </w:hyperlink>
          </w:p>
        </w:tc>
      </w:tr>
      <w:tr>
        <w:tblPrEx>
          <w:tblW w:w="5000" w:type="pct"/>
          <w:tblCellMar>
            <w:left w:w="108" w:type="dxa"/>
            <w:right w:w="108" w:type="dxa"/>
          </w:tblCellMar>
        </w:tblPrEx>
        <w:tc>
          <w:tcPr>
            <w:tcBorders>
              <w:top w:val="nil"/>
              <w:left w:val="nil"/>
              <w:bottom w:val="nil"/>
              <w:right w:val="nil"/>
            </w:tcBorders>
          </w:tcPr>
          <w:p>
            <w:pPr>
              <w:numPr>
                <w:ilvl w:val="0"/>
                <w:numId w:val="0"/>
              </w:numPr>
              <w:rPr>
                <w:b w:val="0"/>
                <w:color w:val="0000FF"/>
                <w:u w:val="single"/>
              </w:rPr>
            </w:pPr>
            <w:hyperlink r:id="rId6" w:history="1">
              <w:r>
                <w:rPr>
                  <w:b w:val="0"/>
                  <w:color w:val="0000FF"/>
                  <w:u w:val="single"/>
                </w:rPr>
                <w:t>07 Lov om høyere yrkesfaglig utdanning (fagskoleloven)</w:t>
              </w:r>
            </w:hyperlink>
          </w:p>
        </w:tc>
      </w:tr>
      <w:tr>
        <w:tblPrEx>
          <w:tblW w:w="5000" w:type="pct"/>
          <w:tblCellMar>
            <w:left w:w="108" w:type="dxa"/>
            <w:right w:w="108" w:type="dxa"/>
          </w:tblCellMar>
        </w:tblPrEx>
        <w:tc>
          <w:tcPr>
            <w:tcBorders>
              <w:top w:val="nil"/>
              <w:left w:val="nil"/>
              <w:bottom w:val="nil"/>
              <w:right w:val="nil"/>
            </w:tcBorders>
          </w:tcPr>
          <w:p>
            <w:pPr>
              <w:numPr>
                <w:ilvl w:val="0"/>
                <w:numId w:val="0"/>
              </w:numPr>
              <w:rPr>
                <w:b w:val="0"/>
                <w:color w:val="0000FF"/>
                <w:u w:val="single"/>
              </w:rPr>
            </w:pPr>
            <w:hyperlink r:id="rId7" w:history="1">
              <w:r>
                <w:rPr>
                  <w:b w:val="0"/>
                  <w:color w:val="0000FF"/>
                  <w:u w:val="single"/>
                </w:rPr>
                <w:t>04 Forskrift om kvalifikasjonskrav og sertifikater for sjøfolk 22. desember 2011, nr. 1523, § 14), med senere endringer</w:t>
              </w:r>
            </w:hyperlink>
          </w:p>
        </w:tc>
      </w:tr>
      <w:tr>
        <w:tblPrEx>
          <w:tblW w:w="5000" w:type="pct"/>
          <w:tblCellMar>
            <w:left w:w="108" w:type="dxa"/>
            <w:right w:w="108" w:type="dxa"/>
          </w:tblCellMar>
        </w:tblPrEx>
        <w:tc>
          <w:tcPr>
            <w:tcBorders>
              <w:top w:val="nil"/>
              <w:left w:val="nil"/>
              <w:bottom w:val="nil"/>
              <w:right w:val="nil"/>
            </w:tcBorders>
          </w:tcPr>
          <w:p>
            <w:pPr>
              <w:numPr>
                <w:ilvl w:val="0"/>
                <w:numId w:val="0"/>
              </w:numPr>
              <w:rPr>
                <w:b w:val="0"/>
                <w:color w:val="0000FF"/>
                <w:u w:val="single"/>
              </w:rPr>
            </w:pPr>
            <w:hyperlink r:id="rId8" w:anchor="document/SF/forskrift/2011-12-22-1523" w:history="1">
              <w:r>
                <w:rPr>
                  <w:b w:val="0"/>
                  <w:color w:val="0000FF"/>
                  <w:u w:val="single"/>
                </w:rPr>
                <w:t xml:space="preserve"> STCW (Standards of Training, Certification and Watchkeeping for Seafarers) med endring av forskriften, 1. juli 2020</w:t>
              </w:r>
            </w:hyperlink>
          </w:p>
        </w:tc>
      </w:tr>
    </w:tbl>
    <w:p w:rsidR="001C0FFA" w:rsidRPr="00B579ED" w14:paraId="17BE90BA" w14:textId="77777777">
      <w:pPr>
        <w:rPr>
          <w:rFonts w:ascii="Verdana" w:hAnsi="Verdana"/>
          <w:sz w:val="18"/>
          <w:szCs w:val="18"/>
          <w:lang w:val="en-GB"/>
        </w:rPr>
      </w:pPr>
      <w:bookmarkEnd w:id="2"/>
    </w:p>
    <w:p w:rsidR="001C0FFA" w:rsidRPr="00B579ED" w14:paraId="17BE90BB" w14:textId="77777777">
      <w:pPr>
        <w:rPr>
          <w:rFonts w:ascii="Verdana" w:hAnsi="Verdana"/>
          <w:sz w:val="18"/>
          <w:szCs w:val="18"/>
          <w:lang w:val="en-GB"/>
        </w:rPr>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17BE90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17BE90C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FFA" w14:paraId="17BE90C7" w14:textId="2C359902">
    <w:pPr>
      <w:pStyle w:val="Footer"/>
    </w:pPr>
    <w:r>
      <w:fldChar w:fldCharType="begin" w:fldLock="1"/>
    </w:r>
    <w:r>
      <w:instrText xml:space="preserve"> DOCPROPERTY EK_EKPrintMerke </w:instrText>
    </w:r>
    <w:r>
      <w:fldChar w:fldCharType="separate"/>
    </w:r>
    <w:r>
      <w:t>Uoffisiell utskrift er kun gyldig på utskriftsdato</w:t>
    </w:r>
    <w:r>
      <w:fldChar w:fldCharType="end"/>
    </w:r>
    <w:r>
      <w:t xml:space="preserve"> - </w:t>
    </w:r>
    <w:r>
      <w:fldChar w:fldCharType="begin"/>
    </w:r>
    <w:r>
      <w:instrText xml:space="preserve"> TIME \@ "dd.MM.yyyy" </w:instrText>
    </w:r>
    <w:r>
      <w:fldChar w:fldCharType="separate"/>
    </w:r>
    <w:r>
      <w:t>18.06.2024</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17BE90B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14:paraId="17BE90BF" w14:textId="77777777">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1C0FFA" w14:paraId="17BE90BD" w14:textId="77777777">
          <w:pPr>
            <w:spacing w:before="80" w:after="80"/>
            <w:rPr>
              <w:b/>
              <w:lang w:val="de-DE"/>
            </w:rPr>
          </w:pPr>
          <w:r>
            <w:rPr>
              <w:b/>
              <w:color w:val="000080"/>
            </w:rPr>
            <w:fldChar w:fldCharType="begin" w:fldLock="1"/>
          </w:r>
          <w:r>
            <w:rPr>
              <w:b/>
              <w:color w:val="000080"/>
              <w:lang w:val="de-DE"/>
            </w:rPr>
            <w:instrText>DOCPROPERTY EK_doktittel</w:instrText>
          </w:r>
          <w:r>
            <w:rPr>
              <w:b/>
              <w:color w:val="000080"/>
            </w:rPr>
            <w:fldChar w:fldCharType="separate"/>
          </w:r>
          <w:r>
            <w:rPr>
              <w:b/>
              <w:color w:val="000080"/>
              <w:lang w:val="de-DE"/>
            </w:rPr>
            <w:t>Kapittel 3.2 Utvikling og gjennomgang av utdannings- og opplæringsprogram</w:t>
          </w:r>
          <w:r>
            <w:rPr>
              <w:b/>
              <w:color w:val="000080"/>
            </w:rPr>
            <w:fldChar w:fldCharType="end"/>
          </w:r>
        </w:p>
      </w:tc>
      <w:tc>
        <w:tcPr>
          <w:tcW w:w="1968" w:type="dxa"/>
          <w:gridSpan w:val="2"/>
          <w:tcBorders>
            <w:bottom w:val="nil"/>
          </w:tcBorders>
        </w:tcPr>
        <w:p w:rsidR="001C0FFA" w14:paraId="17BE90BE" w14:textId="77777777">
          <w:pPr>
            <w:spacing w:before="80" w:after="80"/>
          </w:pPr>
          <w:r>
            <w:rPr>
              <w:sz w:val="16"/>
              <w:lang w:val="de-DE"/>
            </w:rPr>
            <w:t>Dok.id.</w:t>
          </w:r>
          <w:r>
            <w:rPr>
              <w:sz w:val="16"/>
            </w:rPr>
            <w:t xml:space="preserve">: </w:t>
          </w:r>
          <w:r>
            <w:rPr>
              <w:sz w:val="20"/>
            </w:rPr>
            <w:fldChar w:fldCharType="begin" w:fldLock="1"/>
          </w:r>
          <w:r>
            <w:rPr>
              <w:color w:val="000080"/>
            </w:rPr>
            <w:instrText>DOCPROPERTY EK_Refnr</w:instrText>
          </w:r>
          <w:r>
            <w:rPr>
              <w:sz w:val="20"/>
            </w:rPr>
            <w:fldChar w:fldCharType="separate"/>
          </w:r>
          <w:r>
            <w:rPr>
              <w:color w:val="000080"/>
            </w:rPr>
            <w:t>1.2.10</w:t>
          </w:r>
          <w:r>
            <w:rPr>
              <w:sz w:val="20"/>
            </w:rPr>
            <w:fldChar w:fldCharType="end"/>
          </w:r>
        </w:p>
      </w:tc>
    </w:tr>
    <w:tr w14:paraId="17BE90C2" w14:textId="77777777">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1C0FFA" w14:paraId="17BE90C0" w14:textId="77777777">
          <w:pPr>
            <w:spacing w:before="80"/>
            <w:rPr>
              <w:sz w:val="20"/>
            </w:rPr>
          </w:pPr>
        </w:p>
      </w:tc>
      <w:tc>
        <w:tcPr>
          <w:tcW w:w="1962" w:type="dxa"/>
          <w:tcBorders>
            <w:left w:val="nil"/>
            <w:bottom w:val="nil"/>
            <w:right w:val="nil"/>
          </w:tcBorders>
        </w:tcPr>
        <w:p w:rsidR="001C0FFA" w14:paraId="17BE90C1" w14:textId="77777777">
          <w:pPr>
            <w:spacing w:before="80"/>
            <w:jc w:val="right"/>
            <w:rPr>
              <w:sz w:val="20"/>
            </w:rPr>
          </w:pPr>
          <w:r>
            <w:rPr>
              <w:sz w:val="20"/>
            </w:rPr>
            <w:t xml:space="preserve">Side   : </w:t>
          </w:r>
          <w:r>
            <w:rPr>
              <w:sz w:val="20"/>
            </w:rPr>
            <w:fldChar w:fldCharType="begin"/>
          </w:r>
          <w:r>
            <w:rPr>
              <w:sz w:val="20"/>
            </w:rPr>
            <w:instrText xml:space="preserve">PAGE </w:instrText>
          </w:r>
          <w:r>
            <w:rPr>
              <w:sz w:val="20"/>
            </w:rPr>
            <w:fldChar w:fldCharType="separate"/>
          </w:r>
          <w:r>
            <w:rPr>
              <w:sz w:val="20"/>
              <w:lang w:val="nb-NO" w:eastAsia="nb-NO" w:bidi="ar-SA"/>
            </w:rPr>
            <w:t>2</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2</w:t>
          </w:r>
          <w:r>
            <w:rPr>
              <w:sz w:val="20"/>
            </w:rPr>
            <w:fldChar w:fldCharType="end"/>
          </w:r>
        </w:p>
      </w:tc>
    </w:tr>
  </w:tbl>
  <w:p w:rsidR="001C0FFA" w14:paraId="17BE90C3"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17BE90C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FA"/>
    <w:rsid w:val="00015CE9"/>
    <w:rsid w:val="00027D14"/>
    <w:rsid w:val="000400F7"/>
    <w:rsid w:val="000F3BF2"/>
    <w:rsid w:val="001A500E"/>
    <w:rsid w:val="001C0FFA"/>
    <w:rsid w:val="00280477"/>
    <w:rsid w:val="003D4093"/>
    <w:rsid w:val="00415440"/>
    <w:rsid w:val="004F400D"/>
    <w:rsid w:val="005037FB"/>
    <w:rsid w:val="00593ADB"/>
    <w:rsid w:val="005F7187"/>
    <w:rsid w:val="00A631DE"/>
    <w:rsid w:val="00B579ED"/>
    <w:rsid w:val="00B84574"/>
    <w:rsid w:val="00BE213D"/>
    <w:rsid w:val="00BF75FB"/>
    <w:rsid w:val="00C77696"/>
    <w:rsid w:val="00CD5A4D"/>
    <w:rsid w:val="00E34F49"/>
  </w:rsids>
  <w:docVars>
    <w:docVar w:name="Avdeling" w:val="lab_avdeling"/>
    <w:docVar w:name="Avsnitt" w:val="lab_avsnitt"/>
    <w:docVar w:name="Bedriftsnavn" w:val="DEMO - DataKvalitet AS"/>
    <w:docVar w:name="beskyttet" w:val="nei"/>
    <w:docVar w:name="docver" w:val="2.20"/>
    <w:docVar w:name="EksRef" w:val="[EksRef]"/>
    <w:docVar w:name="ek_dbfields" w:val="EK_Avdeling¤2#4¤2#[Avdeling]¤3#EK_Avsnitt¤2#4¤2#[Avsnitt]¤3#EK_Bedriftsnavn¤2#1¤2#TRONDHEIM FAGSKOLE¤3#EK_GjelderFra¤2#0¤2#[GjelderFra]¤3#EK_Opprettet¤2#0¤2#[Opprettet]¤3#EK_Utgitt¤2#0¤2#[Utgitt]¤3#EK_IBrukDato¤2#0¤2#[Endret]¤3#EK_DokumentID¤2#0¤2#[ID]¤3#EK_DokTittel¤2#0¤2#&lt;Ny mal opprettet av JSS&gt;¤3#EK_DokType¤2#0¤2#[DokType]¤3#EK_EksRef¤2#2¤2#EksRef_Layout¤3#EK_Erstatter¤2#0¤2#[Erstatter]¤3#EK_ErstatterD¤2#0¤2#[ErstatterD]¤3#EK_Signatur¤2#0¤2#[Signatur]¤3#EK_Verifisert¤2#0¤2#[Verifisert av]¤3#EK_Hørt¤2#0¤2#[Hørt av]¤3#EK_AuditReview¤2#2¤2#;[Signaturliste];¤3#EK_AuditApprove¤2#2¤2#;[Signaturliste];¤3#EK_Gradering¤2#0¤2#[Gradering]¤3#EK_Gradnr¤2#4¤2#[Gradnr]¤3#EK_Kapittel¤2#4¤2#[Kapittel]¤3#EK_Referanse¤2#2¤2#Ref_Layout¤3#EK_RefNr¤2#0¤2#[RefNr]¤3#EK_Revisjon¤2#0¤2#[Rev]¤3#EK_Ansvarlig¤2#0¤2#[EK-Ansvarlig]¤3#EK_SkrevetAv¤2#0¤2#[Forfatter]¤3#EK_UText1¤2#0¤2#[UText1]¤3#EK_UText2¤2#0¤2#[UText2]¤3#EK_UText3¤2#0¤2#[UText3]¤3#EK_UText4¤2#0¤2#[UText4]¤3#EK_Status¤2#0¤2#[Status]¤3#EK_Stikkord¤2#0¤2#[Stikkord]¤3#EK_Rapport¤2#3¤2#[Tilknyttet rapport]¤3#EK_EKPrintMerke¤2#0¤2#Uoffisiell utskrift er kun gyldig på utskriftsdato¤3#EK_Watermark¤2#0¤2#Vannmerke¤3#EK_Utgave¤2#0¤2#[Ver]¤3#EK_Merknad¤2#7¤2#[Merknad]¤3#EK_VerLogg¤2#2¤2#[Versjonslogg]¤3#EK_RF1¤2#4¤2#[RF1]¤3#EK_RF2¤2#4¤2#[RF2]¤3#EK_RF3¤2#4¤2#[RF3]¤3#EK_RF4¤2#4¤2#[RF4]¤3#EK_RF5¤2#4¤2#[RF5]¤3#EK_RF6¤2#4¤2#[RF6]¤3#EK_RF7¤2#4¤2#[RF7]¤3#EK_RF8¤2#4¤2#[RF8]¤3#EK_RF9¤2#4¤2#[RF9]¤3#EK_Mappe1¤2#4¤2#[Mappe1]¤3#EK_Mappe2¤2#4¤2#[Mappe2]¤3#EK_Mappe3¤2#4¤2#[Mappe3]¤3#EK_Mappe4¤2#4¤2#[Mappe4]¤3#EK_Mappe5¤2#4¤2#[Mappe5]¤3#EK_Mappe6¤2#4¤2#[Mappe6]¤3#EK_Mappe7¤2#4¤2#[Mappe7]¤3#EK_Mappe8¤2#4¤2#[Mappe8]¤3#EK_Mappe9¤2#4¤2#[Mappe9]¤3#EK_DL¤2#0¤2#[dl]¤3#EK_GjelderTil¤2#0¤2#[GyldigTil]¤3#EK_Vedlegg¤2#2¤2#Ref_Layout¤3#EK_AvdelingOver¤2#4¤2#[AvdelingOver]¤3#EK_HRefNr¤2#0¤2#[HRefnr]¤3#EK_HbNavn¤2#0¤2#[HbNavn]¤3#EK_DokRefnr¤2#4¤2#¤3#EK_Dokendrdato¤2#4¤2#¤3#EK_HbType¤2#4¤2#¤3#EK_Offisiell¤2#4¤2#¤3#EK_VedleggRef¤2#4¤2#¤3#EK_Strukt00¤2#5¤2#[Strukturfelt]¤3#EK_Strukt01¤2#5¤2#[Strukturfelt]¤3#EK_Pub¤2#6¤2#¤3#EKR_DokType¤2#0¤2#[ResType]¤3#EKR_Doktittel¤2#0¤2#[ResTittel]¤3#EKR_DokumentID¤2#0¤2#[ResId]¤3#EKR_RefNr¤2#0¤2#[ResRefNr]¤3#EKR_Gradering¤2#0¤2#[ResGrad]¤3#EKR_Signatur¤2#0¤2#[ResSign]¤3#EKR_Verifisert¤2#0¤2#[Verifisert av]¤3#EKR_Hørt¤2#0¤2#[Hørt av]¤3#EKR_Dokeier¤2#0¤2#[ResEier]¤3#EKR_Status¤2#0¤2#[ResStat]¤3#EKR_Opprettet¤2#0¤2#[ResOppr]¤3#EKR_Endret¤2#0¤2#[ResEndret]¤3#EKR_Ibruk¤2#0¤2#[ResIBruk]¤3#EKR_Rapport¤2#3¤2#[Tilknyttet rapport]¤3#EKR_Utgitt¤2#0¤2#[ResUtfylt]¤3#EKR_SkrevetAv¤2#0¤2#[Utfylt av]¤3#EKR_UText1¤2#0¤2#[RESUText1]¤3#EKR_UText2¤2#0¤2#[RESUText2]¤3#EKR_UText3¤2#0¤2#[RESUText3]¤3#EKR_UText4¤2#0¤2#[RESUText4]¤3#EKR_DokRefnr¤2#4¤2#¤3#EKR_Gradnr¤2#4¤2#¤3#EKR_Strukt00¤2#5¤2#[ ]¤3#"/>
    <w:docVar w:name="ek_doktittel" w:val="&lt;Ny mal opprettet av JSS&gt;"/>
    <w:docVar w:name="ek_endrfields" w:val="EK_DokTittel¤1#EK_Rapport¤1#"/>
    <w:docVar w:name="ek_format" w:val="-2"/>
    <w:docVar w:name="ek_rapport" w:val="[Tilknyttet rapport]"/>
    <w:docVar w:name="EK_TYPE" w:val="MAL"/>
    <w:docVar w:name="Erstatter" w:val="lab_erstatter"/>
    <w:docVar w:name="KHB" w:val="UB"/>
    <w:docVar w:name="skitten" w:val="0"/>
    <w:docVar w:name="Tittel" w:val="Dette er en Test tittel."/>
  </w:docVars>
  <m:mathPr>
    <m:mathFont m:val="Cambria Math"/>
    <m:wrapRight/>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17BE909D"/>
  <w15:docId w15:val="{2D20C295-7F26-4E47-BB1C-EFEDBC7F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standards.dnv.com/explorer/document/F63D7FA6C45F460DA09A0DBEFB1C4C1F/4" TargetMode="External" /><Relationship Id="rId6" Type="http://schemas.openxmlformats.org/officeDocument/2006/relationships/hyperlink" Target="https://lovdata.no/dokument/NL/lov/2018-06-08-28" TargetMode="External" /><Relationship Id="rId7" Type="http://schemas.openxmlformats.org/officeDocument/2006/relationships/hyperlink" Target="https://lovdata.no/dokument/SF/forskrift/2011-12-22-1523" TargetMode="External" /><Relationship Id="rId8" Type="http://schemas.openxmlformats.org/officeDocument/2006/relationships/hyperlink" Target="https://lovdata.no/pro/"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PILOT\DOT\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OPERATIV_EK3TEMPDISABLED</Template>
  <TotalTime>8</TotalTime>
  <Pages>2</Pages>
  <Words>552</Words>
  <Characters>2930</Characters>
  <Application>Microsoft Office Word</Application>
  <DocSecurity>0</DocSecurity>
  <Lines>24</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Standard</vt:lpstr>
      <vt:lpstr>	</vt:lpstr>
    </vt:vector>
  </TitlesOfParts>
  <Company>Datakvalitet</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Kapittel 3.2 Utvikling og gjennomgang av utdannings- og opplæringsprogram</dc:title>
  <dc:subject>&lt;Ny mal opprettet av JSS&gt;|[RefNr]|</dc:subject>
  <dc:creator>Handbok</dc:creator>
  <dc:description>EK_Avdeling4[Avdeling]EK_Avsnitt4[Avsnitt]EK_Bedriftsnavn1TRONDHEIM FAGSKOLEEK_GjelderFra0[GjelderFra]EK_Opprettet0[Opprettet]EK_Utgitt0[Utgitt]EK_IBrukDato0[Endret]EK_DokumentID0[ID]EK_DokTittel0&lt;Ny mal opprettet av JSS&gt;EK_DokType0[DokType]EK_EksRef2EksRef_LayoutEK_Erstatter0[Erstatter]EK_ErstatterD0[ErstatterD]EK_Signatur0[Signatur]EK_Verifisert0[Verifisert av]EK_Hørt0[Hørt av]EK_AuditReview2;[Signaturliste];EK_AuditApprove2;[Signaturliste];EK_Gradering0[Gradering]EK_Gradnr4[Gradnr]EK_Kapittel4[Kapittel]EK_Referanse2Ref_LayoutEK_RefNr0[RefNr]EK_Revisjon0[Rev]EK_Ansvarlig0[EK-Ansvarlig]EK_SkrevetAv0[Forfatter]EK_UText10[UText1]EK_UText20[UText2]EK_UText30[UText3]EK_UText40[UText4]EK_Status0[Status]EK_Stikkord0[Stikkord]EK_Rapport3[Tilknyttet rapport]EK_EKPrintMerke0Uoffisiell utskrift er kun gyldig på utskriftsdatoEK_Watermark0VannmerkeEK_Utgave0[Ver]EK_Merknad7[Merknad]EK_VerLogg2[Versjonslogg]EK_RF14[RF1]EK_RF24[RF2]EK_RF34[RF3]EK_RF44[RF4]EK_RF54[RF5]EK_RF64[RF6]EK_RF74[RF7]EK_RF84[RF8]EK_RF94[RF9]EK_Mappe14[Mappe1]EK_Mappe24[Mappe2]EK_Mappe34[Mappe3]EK_Mappe44[Mappe4]EK_Mappe54[Mappe5]EK_Mappe64[Mappe6]EK_Mappe74[Mappe7]EK_Mappe84[Mappe8]EK_Mappe94[Mappe9]EK_DL0[dl]EK_GjelderTil0[GyldigTil]EK_Vedlegg2Ref_LayoutEK_AvdelingOver4[AvdelingOver]EK_HRefNr0[HRefnr]EK_HbNavn0[HbNavn]EK_DokRefnr4EK_Dokendrdato4EK_HbType4EK_Offisiell4EK_VedleggRef4EK_Strukt005[Strukturfelt]EK_Strukt015[Strukturfelt]EK_Pub6EKR_DokType0[ResType]EKR_Doktittel0[ResTittel]EKR_DokumentID0[ResId]EKR_RefNr0[ResRefNr]EKR_Gradering0[ResGrad]EKR_Signatur0[ResSign]EKR_Verifisert0[Verifisert av]EKR_Hørt0[Hørt av]EKR_Dokeier0[ResEier]EKR_Status0[ResStat]EKR_Opprettet0[ResOppr]EKR_Endret0[ResEndret]EKR_Ibruk0[ResIBruk]EKR_Rapport3[Tilknyttet rapport]EKR_Utgitt0[ResUtfylt]EKR_SkrevetAv0[Utfylt av]EKR_UText10[RESUText1]EKR_UText20[RESUText2]EKR_UText30[RESUText3]EKR_UText40[RESUText4]EKR_DokRefnr4EKR_Gradnr4EKR_Strukt005[ ]</dc:description>
  <cp:lastModifiedBy>Hans Tore Mikkelsen</cp:lastModifiedBy>
  <cp:revision>4</cp:revision>
  <dcterms:created xsi:type="dcterms:W3CDTF">2020-01-20T07:07:00Z</dcterms:created>
  <dcterms:modified xsi:type="dcterms:W3CDTF">2022-10-13T17:32:00Z</dcterms:modified>
  <cp:category>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 avd. TRONDHEIM</vt:lpwstr>
  </property>
  <property fmtid="{D5CDD505-2E9C-101B-9397-08002B2CF9AE}" pid="3" name="EK_DokTittel">
    <vt:lpwstr>Kapittel 3.2 Utvikling og gjennomgang av utdannings- og opplæringsprogram</vt:lpwstr>
  </property>
  <property fmtid="{D5CDD505-2E9C-101B-9397-08002B2CF9AE}" pid="4" name="EK_DokType">
    <vt:lpwstr>MTP</vt:lpwstr>
  </property>
  <property fmtid="{D5CDD505-2E9C-101B-9397-08002B2CF9AE}" pid="5" name="EK_EKPrintMerke">
    <vt:lpwstr>Uoffisiell utskrift er kun gyldig på utskriftsdato</vt:lpwstr>
  </property>
  <property fmtid="{D5CDD505-2E9C-101B-9397-08002B2CF9AE}" pid="6" name="EK_GjelderFra">
    <vt:lpwstr>02.11.2023</vt:lpwstr>
  </property>
  <property fmtid="{D5CDD505-2E9C-101B-9397-08002B2CF9AE}" pid="7" name="EK_RefNr">
    <vt:lpwstr>1.2.10</vt:lpwstr>
  </property>
  <property fmtid="{D5CDD505-2E9C-101B-9397-08002B2CF9AE}" pid="8" name="EK_Signatur">
    <vt:lpwstr>Svein Ove Dyrdal</vt:lpwstr>
  </property>
  <property fmtid="{D5CDD505-2E9C-101B-9397-08002B2CF9AE}" pid="9" name="EK_SkrevetAv">
    <vt:lpwstr>Hans Tore Mikkelsen</vt:lpwstr>
  </property>
  <property fmtid="{D5CDD505-2E9C-101B-9397-08002B2CF9AE}" pid="10" name="EK_Utgave">
    <vt:lpwstr>1.00</vt:lpwstr>
  </property>
  <property fmtid="{D5CDD505-2E9C-101B-9397-08002B2CF9AE}" pid="11" name="EK_Watermark">
    <vt:lpwstr>Vannmerke</vt:lpwstr>
  </property>
  <property fmtid="{D5CDD505-2E9C-101B-9397-08002B2CF9AE}" pid="12" name="XR00067">
    <vt:lpwstr/>
  </property>
  <property fmtid="{D5CDD505-2E9C-101B-9397-08002B2CF9AE}" pid="13" name="XR00101">
    <vt:lpwstr>04</vt:lpwstr>
  </property>
  <property fmtid="{D5CDD505-2E9C-101B-9397-08002B2CF9AE}" pid="14" name="XR00104">
    <vt:lpwstr>07</vt:lpwstr>
  </property>
  <property fmtid="{D5CDD505-2E9C-101B-9397-08002B2CF9AE}" pid="15" name="XR00149">
    <vt:lpwstr>.22.4</vt:lpwstr>
  </property>
  <property fmtid="{D5CDD505-2E9C-101B-9397-08002B2CF9AE}" pid="16" name="XRF00067">
    <vt:lpwstr>STCW (Standards of Training, Certification and Watchkeeping for Seafarers) med endring av forskriften, 1. juli 2020</vt:lpwstr>
  </property>
  <property fmtid="{D5CDD505-2E9C-101B-9397-08002B2CF9AE}" pid="17" name="XRF00101">
    <vt:lpwstr>Forskrift om kvalifikasjonskrav og sertifikater for sjøfolk 22. desember 2011, nr. 1523, § 14), med senere endringer</vt:lpwstr>
  </property>
  <property fmtid="{D5CDD505-2E9C-101B-9397-08002B2CF9AE}" pid="18" name="XRF00104">
    <vt:lpwstr>Lov om høyere yrkesfaglig utdanning (fagskoleloven)</vt:lpwstr>
  </property>
  <property fmtid="{D5CDD505-2E9C-101B-9397-08002B2CF9AE}" pid="19" name="XRF00149">
    <vt:lpwstr>DNV-ST-0029-MTP, Section 4 Development and maintenance</vt:lpwstr>
  </property>
  <property fmtid="{D5CDD505-2E9C-101B-9397-08002B2CF9AE}" pid="20" name="XRL00067">
    <vt:lpwstr> STCW (Standards of Training, Certification and Watchkeeping for Seafarers) med endring av forskriften, 1. juli 2020</vt:lpwstr>
  </property>
  <property fmtid="{D5CDD505-2E9C-101B-9397-08002B2CF9AE}" pid="21" name="XRL00101">
    <vt:lpwstr>04 Forskrift om kvalifikasjonskrav og sertifikater for sjøfolk 22. desember 2011, nr. 1523, § 14), med senere endringer</vt:lpwstr>
  </property>
  <property fmtid="{D5CDD505-2E9C-101B-9397-08002B2CF9AE}" pid="22" name="XRL00104">
    <vt:lpwstr>07 Lov om høyere yrkesfaglig utdanning (fagskoleloven)</vt:lpwstr>
  </property>
  <property fmtid="{D5CDD505-2E9C-101B-9397-08002B2CF9AE}" pid="23" name="XRL00149">
    <vt:lpwstr>.22.4 DNV-ST-0029-MTP, Section 4 Development and maintenance</vt:lpwstr>
  </property>
  <property fmtid="{D5CDD505-2E9C-101B-9397-08002B2CF9AE}" pid="24" name="XRT00067">
    <vt:lpwstr>STCW (Standards of Training, Certification and Watchkeeping for Seafarers) med endring av forskriften, 1. juli 2020</vt:lpwstr>
  </property>
  <property fmtid="{D5CDD505-2E9C-101B-9397-08002B2CF9AE}" pid="25" name="XRT00101">
    <vt:lpwstr>Forskrift om kvalifikasjonskrav og sertifikater for sjøfolk 22. desember 2011, nr. 1523, § 14), med senere endringer</vt:lpwstr>
  </property>
  <property fmtid="{D5CDD505-2E9C-101B-9397-08002B2CF9AE}" pid="26" name="XRT00104">
    <vt:lpwstr>Lov om høyere yrkesfaglig utdanning (fagskoleloven)</vt:lpwstr>
  </property>
  <property fmtid="{D5CDD505-2E9C-101B-9397-08002B2CF9AE}" pid="27" name="XRT00149">
    <vt:lpwstr>DNV-ST-0029-MTP, Section 4 Development and maintenance</vt:lpwstr>
  </property>
</Properties>
</file>