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2687E2D9" w14:textId="77777777">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2C6CF7" w:rsidP="002C6CF7" w14:paraId="2687E2D7" w14:textId="10957D96">
            <w:pPr>
              <w:spacing w:before="120" w:after="120"/>
              <w:rPr>
                <w:rFonts w:ascii="Verdana" w:hAnsi="Verdana"/>
                <w:b/>
                <w:sz w:val="28"/>
              </w:rPr>
            </w:pPr>
            <w:r>
              <w:rPr>
                <w:rFonts w:ascii="Verdana" w:hAnsi="Verdana"/>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7.9pt">
                  <v:imagedata r:id="rId5" o:title="Logo THYF"/>
                </v:shape>
              </w:pict>
            </w:r>
          </w:p>
        </w:tc>
        <w:tc>
          <w:tcPr>
            <w:tcW w:w="2126" w:type="dxa"/>
            <w:tcBorders>
              <w:top w:val="single" w:sz="12" w:space="0" w:color="auto"/>
              <w:left w:val="nil"/>
              <w:bottom w:val="single" w:sz="6" w:space="0" w:color="auto"/>
            </w:tcBorders>
          </w:tcPr>
          <w:p w:rsidR="001C0FFA" w:rsidRPr="002C6CF7" w14:paraId="2687E2D8" w14:textId="77777777">
            <w:pPr>
              <w:spacing w:before="180" w:after="120"/>
              <w:rPr>
                <w:rFonts w:ascii="Verdana" w:hAnsi="Verdana"/>
              </w:rPr>
            </w:pPr>
            <w:r w:rsidRPr="002C6CF7">
              <w:rPr>
                <w:rFonts w:ascii="Verdana" w:hAnsi="Verdana"/>
                <w:sz w:val="16"/>
              </w:rPr>
              <w:t xml:space="preserve">Dok.id.: </w:t>
            </w:r>
            <w:r w:rsidRPr="002C6CF7">
              <w:rPr>
                <w:rFonts w:ascii="Verdana" w:hAnsi="Verdana"/>
                <w:sz w:val="16"/>
              </w:rPr>
              <w:fldChar w:fldCharType="begin" w:fldLock="1"/>
            </w:r>
            <w:r w:rsidRPr="002C6CF7">
              <w:rPr>
                <w:rFonts w:ascii="Verdana" w:hAnsi="Verdana"/>
                <w:color w:val="000080"/>
              </w:rPr>
              <w:instrText xml:space="preserve"> DOCPROPERTY EK_RefNr </w:instrText>
            </w:r>
            <w:r w:rsidRPr="002C6CF7">
              <w:rPr>
                <w:rFonts w:ascii="Verdana" w:hAnsi="Verdana"/>
                <w:sz w:val="16"/>
              </w:rPr>
              <w:fldChar w:fldCharType="separate"/>
            </w:r>
            <w:r w:rsidRPr="002C6CF7">
              <w:rPr>
                <w:rFonts w:ascii="Verdana" w:hAnsi="Verdana"/>
                <w:color w:val="000080"/>
              </w:rPr>
              <w:t>1.2.9</w:t>
            </w:r>
            <w:r w:rsidRPr="002C6CF7">
              <w:rPr>
                <w:rFonts w:ascii="Verdana" w:hAnsi="Verdana"/>
                <w:sz w:val="16"/>
              </w:rPr>
              <w:fldChar w:fldCharType="end"/>
            </w:r>
          </w:p>
        </w:tc>
      </w:tr>
      <w:tr w14:paraId="2687E2DC" w14:textId="77777777">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1C0FFA" w:rsidRPr="002C6CF7" w14:paraId="2687E2DA" w14:textId="59820FE7">
            <w:pPr>
              <w:spacing w:before="80" w:after="80"/>
              <w:rPr>
                <w:rFonts w:ascii="Verdana" w:hAnsi="Verdana"/>
                <w:b/>
              </w:rPr>
            </w:pPr>
            <w:r w:rsidRPr="002C6CF7">
              <w:rPr>
                <w:rFonts w:ascii="Verdana" w:hAnsi="Verdana"/>
                <w:b/>
              </w:rPr>
              <w:fldChar w:fldCharType="begin" w:fldLock="1"/>
            </w:r>
            <w:r w:rsidRPr="002C6CF7">
              <w:rPr>
                <w:rFonts w:ascii="Verdana" w:hAnsi="Verdana"/>
                <w:b/>
                <w:color w:val="000080"/>
              </w:rPr>
              <w:instrText xml:space="preserve"> DOCPROPERTY EK_DokTittel </w:instrText>
            </w:r>
            <w:r w:rsidRPr="002C6CF7">
              <w:rPr>
                <w:rFonts w:ascii="Verdana" w:hAnsi="Verdana"/>
                <w:b/>
              </w:rPr>
              <w:fldChar w:fldCharType="separate"/>
            </w:r>
            <w:r w:rsidRPr="002C6CF7">
              <w:rPr>
                <w:rFonts w:ascii="Verdana" w:hAnsi="Verdana"/>
                <w:b/>
                <w:color w:val="000080"/>
              </w:rPr>
              <w:t>Kapittel 3.1 Planlegging</w:t>
            </w:r>
            <w:r w:rsidRPr="002C6CF7">
              <w:rPr>
                <w:rFonts w:ascii="Verdana" w:hAnsi="Verdana"/>
                <w:b/>
              </w:rPr>
              <w:fldChar w:fldCharType="end"/>
            </w:r>
            <w:bookmarkStart w:id="0" w:name="tempHer"/>
            <w:bookmarkEnd w:id="0"/>
            <w:r w:rsidRPr="002C6CF7" w:rsidR="002C6CF7">
              <w:rPr>
                <w:rFonts w:ascii="Verdana" w:hAnsi="Verdana"/>
                <w:b/>
              </w:rPr>
              <w:t xml:space="preserve"> av opplæringsprogram</w:t>
            </w:r>
          </w:p>
        </w:tc>
        <w:tc>
          <w:tcPr>
            <w:tcW w:w="2125" w:type="dxa"/>
            <w:tcBorders>
              <w:top w:val="single" w:sz="6" w:space="0" w:color="auto"/>
              <w:left w:val="nil"/>
              <w:bottom w:val="single" w:sz="6" w:space="0" w:color="auto"/>
            </w:tcBorders>
          </w:tcPr>
          <w:p w:rsidR="001C0FFA" w:rsidRPr="002C6CF7" w14:paraId="2687E2DB" w14:textId="77777777">
            <w:pPr>
              <w:spacing w:before="80" w:after="80"/>
              <w:rPr>
                <w:rFonts w:ascii="Verdana" w:hAnsi="Verdana"/>
              </w:rPr>
            </w:pPr>
            <w:r w:rsidRPr="002C6CF7">
              <w:rPr>
                <w:rFonts w:ascii="Verdana" w:hAnsi="Verdana"/>
              </w:rPr>
              <w:fldChar w:fldCharType="begin" w:fldLock="1"/>
            </w:r>
            <w:r w:rsidRPr="002C6CF7">
              <w:rPr>
                <w:rFonts w:ascii="Verdana" w:hAnsi="Verdana"/>
                <w:color w:val="000080"/>
              </w:rPr>
              <w:instrText xml:space="preserve"> DOCPROPERTY EK_DokType </w:instrText>
            </w:r>
            <w:r w:rsidRPr="002C6CF7">
              <w:rPr>
                <w:rFonts w:ascii="Verdana" w:hAnsi="Verdana"/>
              </w:rPr>
              <w:fldChar w:fldCharType="separate"/>
            </w:r>
            <w:r w:rsidRPr="002C6CF7">
              <w:rPr>
                <w:rFonts w:ascii="Verdana" w:hAnsi="Verdana"/>
                <w:color w:val="000080"/>
              </w:rPr>
              <w:t>MTP</w:t>
            </w:r>
            <w:r w:rsidRPr="002C6CF7">
              <w:rPr>
                <w:rFonts w:ascii="Verdana" w:hAnsi="Verdana"/>
              </w:rPr>
              <w:fldChar w:fldCharType="end"/>
            </w:r>
          </w:p>
        </w:tc>
      </w:tr>
      <w:tr w14:paraId="2687E2E7" w14:textId="77777777">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rsidRPr="002C6CF7" w14:paraId="2687E2DD" w14:textId="77777777">
            <w:pPr>
              <w:rPr>
                <w:rFonts w:ascii="Verdana" w:hAnsi="Verdana"/>
                <w:color w:val="000080"/>
                <w:sz w:val="20"/>
              </w:rPr>
            </w:pPr>
            <w:r w:rsidRPr="002C6CF7">
              <w:rPr>
                <w:rFonts w:ascii="Verdana" w:hAnsi="Verdana"/>
                <w:sz w:val="16"/>
              </w:rPr>
              <w:t>Utgave:</w:t>
            </w:r>
          </w:p>
          <w:p w:rsidR="001C0FFA" w:rsidRPr="002C6CF7" w14:paraId="2687E2DE" w14:textId="77777777">
            <w:pPr>
              <w:jc w:val="center"/>
              <w:rPr>
                <w:rFonts w:ascii="Verdana" w:hAnsi="Verdana"/>
                <w:sz w:val="20"/>
              </w:rPr>
            </w:pPr>
            <w:r w:rsidRPr="002C6CF7">
              <w:rPr>
                <w:rFonts w:ascii="Verdana" w:hAnsi="Verdana"/>
                <w:sz w:val="18"/>
                <w:szCs w:val="18"/>
              </w:rPr>
              <w:fldChar w:fldCharType="begin" w:fldLock="1"/>
            </w:r>
            <w:r w:rsidRPr="002C6CF7">
              <w:rPr>
                <w:rFonts w:ascii="Verdana" w:hAnsi="Verdana"/>
                <w:color w:val="000080"/>
                <w:sz w:val="18"/>
                <w:szCs w:val="18"/>
              </w:rPr>
              <w:instrText xml:space="preserve"> DOCPROPERTY EK_Utgave </w:instrText>
            </w:r>
            <w:r w:rsidRPr="002C6CF7">
              <w:rPr>
                <w:rFonts w:ascii="Verdana" w:hAnsi="Verdana"/>
                <w:sz w:val="18"/>
                <w:szCs w:val="18"/>
              </w:rPr>
              <w:fldChar w:fldCharType="separate"/>
            </w:r>
            <w:r w:rsidRPr="002C6CF7">
              <w:rPr>
                <w:rFonts w:ascii="Verdana" w:hAnsi="Verdana"/>
                <w:color w:val="000080"/>
                <w:sz w:val="18"/>
                <w:szCs w:val="18"/>
              </w:rPr>
              <w:t>1.00</w:t>
            </w:r>
            <w:r w:rsidRPr="002C6CF7">
              <w:rPr>
                <w:rFonts w:ascii="Verdana" w:hAnsi="Verdana"/>
                <w:sz w:val="18"/>
                <w:szCs w:val="18"/>
              </w:rPr>
              <w:fldChar w:fldCharType="end"/>
            </w:r>
          </w:p>
        </w:tc>
        <w:tc>
          <w:tcPr>
            <w:tcW w:w="2268" w:type="dxa"/>
            <w:tcBorders>
              <w:top w:val="nil"/>
              <w:left w:val="single" w:sz="6" w:space="0" w:color="auto"/>
              <w:bottom w:val="single" w:sz="12" w:space="0" w:color="auto"/>
              <w:right w:val="nil"/>
            </w:tcBorders>
          </w:tcPr>
          <w:p w:rsidR="001C0FFA" w:rsidRPr="002C6CF7" w14:paraId="2687E2DF" w14:textId="77777777">
            <w:pPr>
              <w:rPr>
                <w:rFonts w:ascii="Verdana" w:hAnsi="Verdana"/>
                <w:sz w:val="20"/>
              </w:rPr>
            </w:pPr>
            <w:r w:rsidRPr="002C6CF7">
              <w:rPr>
                <w:rFonts w:ascii="Verdana" w:hAnsi="Verdana"/>
                <w:sz w:val="16"/>
              </w:rPr>
              <w:t>Skrevet av:</w:t>
            </w:r>
          </w:p>
          <w:p w:rsidR="001C0FFA" w:rsidRPr="002C6CF7" w14:paraId="2687E2E0" w14:textId="77777777">
            <w:pPr>
              <w:jc w:val="center"/>
              <w:rPr>
                <w:rFonts w:ascii="Verdana" w:hAnsi="Verdana"/>
                <w:sz w:val="20"/>
              </w:rPr>
            </w:pPr>
            <w:r w:rsidRPr="002C6CF7">
              <w:rPr>
                <w:rFonts w:ascii="Verdana" w:hAnsi="Verdana"/>
                <w:sz w:val="18"/>
                <w:szCs w:val="18"/>
              </w:rPr>
              <w:fldChar w:fldCharType="begin" w:fldLock="1"/>
            </w:r>
            <w:r w:rsidRPr="002C6CF7">
              <w:rPr>
                <w:rFonts w:ascii="Verdana" w:hAnsi="Verdana"/>
                <w:color w:val="000080"/>
                <w:sz w:val="18"/>
                <w:szCs w:val="18"/>
              </w:rPr>
              <w:instrText xml:space="preserve"> DOCPROPERTY EK_SkrevetAv </w:instrText>
            </w:r>
            <w:r w:rsidRPr="002C6CF7">
              <w:rPr>
                <w:rFonts w:ascii="Verdana" w:hAnsi="Verdana"/>
                <w:sz w:val="18"/>
                <w:szCs w:val="18"/>
              </w:rPr>
              <w:fldChar w:fldCharType="separate"/>
            </w:r>
            <w:r w:rsidRPr="002C6CF7">
              <w:rPr>
                <w:rFonts w:ascii="Verdana" w:hAnsi="Verdana"/>
                <w:color w:val="000080"/>
                <w:sz w:val="18"/>
                <w:szCs w:val="18"/>
              </w:rPr>
              <w:t>Hans Tore Mikkelsen</w:t>
            </w:r>
            <w:r w:rsidRPr="002C6CF7">
              <w:rPr>
                <w:rFonts w:ascii="Verdana" w:hAnsi="Verdana"/>
                <w:sz w:val="18"/>
                <w:szCs w:val="18"/>
              </w:rPr>
              <w:fldChar w:fldCharType="end"/>
            </w:r>
          </w:p>
        </w:tc>
        <w:tc>
          <w:tcPr>
            <w:tcW w:w="1417" w:type="dxa"/>
            <w:tcBorders>
              <w:top w:val="nil"/>
              <w:left w:val="single" w:sz="6" w:space="0" w:color="auto"/>
              <w:bottom w:val="single" w:sz="12" w:space="0" w:color="auto"/>
              <w:right w:val="nil"/>
            </w:tcBorders>
          </w:tcPr>
          <w:p w:rsidR="001C0FFA" w:rsidRPr="002C6CF7" w14:paraId="2687E2E1" w14:textId="77777777">
            <w:pPr>
              <w:rPr>
                <w:rFonts w:ascii="Verdana" w:hAnsi="Verdana"/>
                <w:sz w:val="16"/>
              </w:rPr>
            </w:pPr>
            <w:r w:rsidRPr="002C6CF7">
              <w:rPr>
                <w:rFonts w:ascii="Verdana" w:hAnsi="Verdana"/>
                <w:sz w:val="16"/>
              </w:rPr>
              <w:t>Gjelder fra:</w:t>
            </w:r>
          </w:p>
          <w:p w:rsidR="001C0FFA" w:rsidRPr="002C6CF7" w14:paraId="2687E2E2" w14:textId="77777777">
            <w:pPr>
              <w:jc w:val="center"/>
              <w:rPr>
                <w:rFonts w:ascii="Verdana" w:hAnsi="Verdana"/>
                <w:sz w:val="20"/>
              </w:rPr>
            </w:pPr>
            <w:r w:rsidRPr="002C6CF7">
              <w:rPr>
                <w:rFonts w:ascii="Verdana" w:hAnsi="Verdana"/>
                <w:sz w:val="18"/>
                <w:szCs w:val="18"/>
              </w:rPr>
              <w:fldChar w:fldCharType="begin" w:fldLock="1"/>
            </w:r>
            <w:r w:rsidRPr="002C6CF7">
              <w:rPr>
                <w:rFonts w:ascii="Verdana" w:hAnsi="Verdana"/>
                <w:color w:val="000080"/>
                <w:sz w:val="18"/>
                <w:szCs w:val="18"/>
              </w:rPr>
              <w:instrText xml:space="preserve"> DOCPROPERTY EK_GjelderFra </w:instrText>
            </w:r>
            <w:r w:rsidRPr="002C6CF7">
              <w:rPr>
                <w:rFonts w:ascii="Verdana" w:hAnsi="Verdana"/>
                <w:sz w:val="18"/>
                <w:szCs w:val="18"/>
              </w:rPr>
              <w:fldChar w:fldCharType="separate"/>
            </w:r>
            <w:r w:rsidRPr="002C6CF7">
              <w:rPr>
                <w:rFonts w:ascii="Verdana" w:hAnsi="Verdana"/>
                <w:color w:val="000080"/>
                <w:sz w:val="18"/>
                <w:szCs w:val="18"/>
              </w:rPr>
              <w:t>17.10.2022</w:t>
            </w:r>
            <w:r w:rsidRPr="002C6CF7">
              <w:rPr>
                <w:rFonts w:ascii="Verdana" w:hAnsi="Verdana"/>
                <w:sz w:val="18"/>
                <w:szCs w:val="18"/>
              </w:rPr>
              <w:fldChar w:fldCharType="end"/>
            </w:r>
          </w:p>
        </w:tc>
        <w:tc>
          <w:tcPr>
            <w:tcW w:w="2410" w:type="dxa"/>
            <w:tcBorders>
              <w:top w:val="nil"/>
              <w:left w:val="single" w:sz="6" w:space="0" w:color="auto"/>
              <w:bottom w:val="single" w:sz="12" w:space="0" w:color="auto"/>
              <w:right w:val="nil"/>
            </w:tcBorders>
          </w:tcPr>
          <w:p w:rsidR="001C0FFA" w:rsidRPr="002C6CF7" w14:paraId="2687E2E3" w14:textId="77777777">
            <w:pPr>
              <w:rPr>
                <w:rFonts w:ascii="Verdana" w:hAnsi="Verdana"/>
                <w:color w:val="000080"/>
                <w:sz w:val="20"/>
              </w:rPr>
            </w:pPr>
            <w:r w:rsidRPr="002C6CF7">
              <w:rPr>
                <w:rFonts w:ascii="Verdana" w:hAnsi="Verdana"/>
                <w:sz w:val="16"/>
              </w:rPr>
              <w:t>Godkjent av:</w:t>
            </w:r>
          </w:p>
          <w:p w:rsidR="001C0FFA" w:rsidRPr="002C6CF7" w14:paraId="2687E2E4" w14:textId="77777777">
            <w:pPr>
              <w:jc w:val="center"/>
              <w:rPr>
                <w:rFonts w:ascii="Verdana" w:hAnsi="Verdana"/>
                <w:sz w:val="18"/>
                <w:szCs w:val="18"/>
              </w:rPr>
            </w:pPr>
            <w:r w:rsidRPr="002C6CF7">
              <w:rPr>
                <w:rFonts w:ascii="Verdana" w:hAnsi="Verdana"/>
                <w:sz w:val="18"/>
                <w:szCs w:val="18"/>
              </w:rPr>
              <w:fldChar w:fldCharType="begin" w:fldLock="1"/>
            </w:r>
            <w:r w:rsidRPr="002C6CF7">
              <w:rPr>
                <w:rFonts w:ascii="Verdana" w:hAnsi="Verdana"/>
                <w:color w:val="000080"/>
                <w:sz w:val="18"/>
                <w:szCs w:val="18"/>
              </w:rPr>
              <w:instrText xml:space="preserve"> DOCPROPERTY EK_Signatur </w:instrText>
            </w:r>
            <w:r w:rsidRPr="002C6CF7">
              <w:rPr>
                <w:rFonts w:ascii="Verdana" w:hAnsi="Verdana"/>
                <w:sz w:val="18"/>
                <w:szCs w:val="18"/>
              </w:rPr>
              <w:fldChar w:fldCharType="separate"/>
            </w:r>
            <w:r w:rsidRPr="002C6CF7">
              <w:rPr>
                <w:rFonts w:ascii="Verdana" w:hAnsi="Verdana"/>
                <w:color w:val="000080"/>
                <w:sz w:val="18"/>
                <w:szCs w:val="18"/>
              </w:rPr>
              <w:t>Svein Ove Dyrdal</w:t>
            </w:r>
            <w:r w:rsidRPr="002C6CF7">
              <w:rPr>
                <w:rFonts w:ascii="Verdana" w:hAnsi="Verdana"/>
                <w:sz w:val="18"/>
                <w:szCs w:val="18"/>
              </w:rPr>
              <w:fldChar w:fldCharType="end"/>
            </w:r>
          </w:p>
        </w:tc>
        <w:tc>
          <w:tcPr>
            <w:tcW w:w="2126" w:type="dxa"/>
            <w:tcBorders>
              <w:top w:val="nil"/>
              <w:left w:val="single" w:sz="6" w:space="0" w:color="auto"/>
              <w:bottom w:val="single" w:sz="12" w:space="0" w:color="auto"/>
            </w:tcBorders>
          </w:tcPr>
          <w:p w:rsidR="001C0FFA" w:rsidRPr="002C6CF7" w14:paraId="2687E2E5" w14:textId="77777777">
            <w:pPr>
              <w:rPr>
                <w:rFonts w:ascii="Verdana" w:hAnsi="Verdana"/>
                <w:sz w:val="20"/>
              </w:rPr>
            </w:pPr>
            <w:r w:rsidRPr="002C6CF7">
              <w:rPr>
                <w:rFonts w:ascii="Verdana" w:hAnsi="Verdana"/>
                <w:sz w:val="16"/>
              </w:rPr>
              <w:t>Sidenr:</w:t>
            </w:r>
          </w:p>
          <w:p w:rsidR="001C0FFA" w:rsidRPr="002C6CF7" w14:paraId="2687E2E6" w14:textId="77777777">
            <w:pPr>
              <w:jc w:val="center"/>
              <w:rPr>
                <w:rFonts w:ascii="Verdana" w:hAnsi="Verdana"/>
              </w:rPr>
            </w:pPr>
            <w:r w:rsidRPr="002C6CF7">
              <w:rPr>
                <w:rFonts w:ascii="Verdana" w:hAnsi="Verdana"/>
                <w:sz w:val="18"/>
                <w:szCs w:val="18"/>
              </w:rPr>
              <w:fldChar w:fldCharType="begin"/>
            </w:r>
            <w:r w:rsidRPr="002C6CF7">
              <w:rPr>
                <w:rFonts w:ascii="Verdana" w:hAnsi="Verdana"/>
                <w:sz w:val="18"/>
                <w:szCs w:val="18"/>
              </w:rPr>
              <w:instrText xml:space="preserve">PAGE </w:instrText>
            </w:r>
            <w:r w:rsidRPr="002C6CF7">
              <w:rPr>
                <w:rFonts w:ascii="Verdana" w:hAnsi="Verdana"/>
                <w:sz w:val="18"/>
                <w:szCs w:val="18"/>
              </w:rPr>
              <w:fldChar w:fldCharType="separate"/>
            </w:r>
            <w:r w:rsidRPr="002C6CF7">
              <w:rPr>
                <w:rFonts w:ascii="Verdana" w:hAnsi="Verdana"/>
                <w:sz w:val="18"/>
                <w:szCs w:val="18"/>
              </w:rPr>
              <w:t>1</w:t>
            </w:r>
            <w:r w:rsidRPr="002C6CF7">
              <w:rPr>
                <w:rFonts w:ascii="Verdana" w:hAnsi="Verdana"/>
                <w:sz w:val="18"/>
                <w:szCs w:val="18"/>
              </w:rPr>
              <w:fldChar w:fldCharType="end"/>
            </w:r>
            <w:r w:rsidRPr="002C6CF7">
              <w:rPr>
                <w:rFonts w:ascii="Verdana" w:hAnsi="Verdana"/>
                <w:sz w:val="18"/>
                <w:szCs w:val="18"/>
              </w:rPr>
              <w:t xml:space="preserve"> av </w:t>
            </w:r>
            <w:r w:rsidRPr="002C6CF7">
              <w:rPr>
                <w:rFonts w:ascii="Verdana" w:hAnsi="Verdana"/>
                <w:sz w:val="18"/>
                <w:szCs w:val="18"/>
              </w:rPr>
              <w:fldChar w:fldCharType="begin"/>
            </w:r>
            <w:r w:rsidRPr="002C6CF7">
              <w:rPr>
                <w:rFonts w:ascii="Verdana" w:hAnsi="Verdana"/>
                <w:sz w:val="18"/>
                <w:szCs w:val="18"/>
              </w:rPr>
              <w:instrText>NUMPAGES</w:instrText>
            </w:r>
            <w:r w:rsidRPr="002C6CF7">
              <w:rPr>
                <w:rFonts w:ascii="Verdana" w:hAnsi="Verdana"/>
                <w:sz w:val="18"/>
                <w:szCs w:val="18"/>
              </w:rPr>
              <w:fldChar w:fldCharType="separate"/>
            </w:r>
            <w:r w:rsidRPr="002C6CF7">
              <w:rPr>
                <w:rFonts w:ascii="Verdana" w:hAnsi="Verdana"/>
                <w:sz w:val="18"/>
                <w:szCs w:val="18"/>
              </w:rPr>
              <w:t>2</w:t>
            </w:r>
            <w:r w:rsidRPr="002C6CF7">
              <w:rPr>
                <w:rFonts w:ascii="Verdana" w:hAnsi="Verdana"/>
                <w:sz w:val="18"/>
                <w:szCs w:val="18"/>
              </w:rPr>
              <w:fldChar w:fldCharType="end"/>
            </w:r>
          </w:p>
        </w:tc>
      </w:tr>
    </w:tbl>
    <w:p w:rsidR="001C0FFA" w14:paraId="2687E2E8" w14:textId="77777777"/>
    <w:p w:rsidR="00DB672A" w:rsidRPr="002C6CF7" w:rsidP="00DB672A" w14:paraId="0C61E997" w14:textId="77777777">
      <w:pPr>
        <w:spacing w:after="120"/>
        <w:rPr>
          <w:rFonts w:ascii="Verdana" w:hAnsi="Verdana"/>
          <w:b/>
          <w:bCs/>
          <w:sz w:val="22"/>
          <w:szCs w:val="18"/>
        </w:rPr>
      </w:pPr>
      <w:r w:rsidRPr="002C6CF7">
        <w:rPr>
          <w:rFonts w:ascii="Verdana" w:hAnsi="Verdana"/>
          <w:b/>
          <w:bCs/>
          <w:sz w:val="22"/>
          <w:szCs w:val="18"/>
        </w:rPr>
        <w:t xml:space="preserve">3.1.1 Generelt </w:t>
      </w:r>
    </w:p>
    <w:p w:rsidR="00DB672A" w:rsidRPr="002C6CF7" w:rsidP="00DB672A" w14:paraId="234B0F36" w14:textId="6D758B18">
      <w:pPr>
        <w:spacing w:after="120"/>
        <w:jc w:val="both"/>
        <w:rPr>
          <w:rFonts w:ascii="Verdana" w:hAnsi="Verdana"/>
          <w:sz w:val="18"/>
          <w:szCs w:val="14"/>
        </w:rPr>
      </w:pPr>
      <w:r w:rsidRPr="002C6CF7">
        <w:rPr>
          <w:rFonts w:ascii="Verdana" w:hAnsi="Verdana"/>
          <w:sz w:val="18"/>
          <w:szCs w:val="14"/>
        </w:rPr>
        <w:t xml:space="preserve">Akkreditering av utdanninger og opplæring ved THYF er beskrevet i kapittel 1.2. </w:t>
      </w:r>
    </w:p>
    <w:p w:rsidR="00DB672A" w:rsidRPr="002C6CF7" w:rsidP="00DB672A" w14:paraId="11935DCA" w14:textId="77777777">
      <w:pPr>
        <w:spacing w:after="120"/>
        <w:jc w:val="both"/>
        <w:rPr>
          <w:rFonts w:ascii="Verdana" w:hAnsi="Verdana"/>
          <w:sz w:val="18"/>
          <w:szCs w:val="14"/>
        </w:rPr>
      </w:pPr>
      <w:r w:rsidRPr="002C6CF7">
        <w:rPr>
          <w:rFonts w:ascii="Verdana" w:hAnsi="Verdana"/>
          <w:sz w:val="18"/>
          <w:szCs w:val="14"/>
        </w:rPr>
        <w:t>Trøndelag høyere yrkesfagskole (THYF) har etablert egne rutiner for oppfølging, utvikling og vedlikehold av både eksisterende og nye utdanningstilbud/opplæringer. Disse er bes</w:t>
      </w:r>
      <w:r w:rsidRPr="002C6CF7">
        <w:rPr>
          <w:rFonts w:ascii="Verdana" w:hAnsi="Verdana"/>
          <w:sz w:val="18"/>
          <w:szCs w:val="14"/>
        </w:rPr>
        <w:t>krevet i dette og i etterfølgende kapitler.</w:t>
      </w:r>
    </w:p>
    <w:p w:rsidR="00DB672A" w:rsidRPr="002C6CF7" w:rsidP="00DB672A" w14:paraId="5D81D9AF" w14:textId="77777777">
      <w:pPr>
        <w:spacing w:after="120"/>
        <w:jc w:val="both"/>
        <w:rPr>
          <w:rFonts w:ascii="Verdana" w:hAnsi="Verdana"/>
          <w:sz w:val="18"/>
          <w:szCs w:val="14"/>
        </w:rPr>
      </w:pPr>
      <w:r w:rsidRPr="002C6CF7">
        <w:rPr>
          <w:rFonts w:ascii="Verdana" w:hAnsi="Verdana"/>
          <w:sz w:val="18"/>
          <w:szCs w:val="14"/>
        </w:rPr>
        <w:t>Utvikling og vedlikehold forutsettes å skje i samarbeid med næringslivet</w:t>
      </w:r>
      <w:r>
        <w:rPr>
          <w:rStyle w:val="FootnoteReference"/>
          <w:rFonts w:ascii="Verdana" w:hAnsi="Verdana"/>
          <w:sz w:val="18"/>
          <w:szCs w:val="14"/>
        </w:rPr>
        <w:footnoteReference w:id="2"/>
      </w:r>
      <w:r w:rsidRPr="002C6CF7">
        <w:rPr>
          <w:rFonts w:ascii="Verdana" w:hAnsi="Verdana"/>
          <w:sz w:val="18"/>
          <w:szCs w:val="14"/>
        </w:rPr>
        <w:t>, myndighetene</w:t>
      </w:r>
      <w:r>
        <w:rPr>
          <w:rStyle w:val="FootnoteReference"/>
          <w:rFonts w:ascii="Verdana" w:hAnsi="Verdana"/>
          <w:sz w:val="18"/>
          <w:szCs w:val="14"/>
        </w:rPr>
        <w:footnoteReference w:id="3"/>
      </w:r>
      <w:r w:rsidRPr="002C6CF7">
        <w:rPr>
          <w:rFonts w:ascii="Verdana" w:hAnsi="Verdana"/>
          <w:sz w:val="18"/>
          <w:szCs w:val="14"/>
        </w:rPr>
        <w:t xml:space="preserve">, sertifiseringsorgan, samt andre relevante samarbeidspartnere. Utvikling av nye utdanningstilbud og kurs skal skje etter </w:t>
      </w:r>
      <w:r w:rsidRPr="002C6CF7">
        <w:rPr>
          <w:rFonts w:ascii="Verdana" w:hAnsi="Verdana"/>
          <w:sz w:val="18"/>
          <w:szCs w:val="14"/>
        </w:rPr>
        <w:t xml:space="preserve">behov som dukker opp i næringen, eller av andre relevante grunner. </w:t>
      </w:r>
    </w:p>
    <w:p w:rsidR="00DB672A" w:rsidRPr="002C6CF7" w:rsidP="00DB672A" w14:paraId="5988FD78" w14:textId="77777777">
      <w:pPr>
        <w:spacing w:after="120"/>
        <w:jc w:val="both"/>
        <w:rPr>
          <w:rFonts w:ascii="Verdana" w:hAnsi="Verdana"/>
          <w:sz w:val="18"/>
          <w:szCs w:val="14"/>
        </w:rPr>
      </w:pPr>
      <w:r w:rsidRPr="002C6CF7">
        <w:rPr>
          <w:rFonts w:ascii="Verdana" w:hAnsi="Verdana"/>
          <w:sz w:val="18"/>
          <w:szCs w:val="14"/>
        </w:rPr>
        <w:t>Ledelsen i THYF planlegger skoleåret ut fra de rammer og ressurser som tildeles skolen fra Trøndelag fylkeskommune (TRFK) og i tillegg rammer gitt i gjeldene lover og regelverk. Den gjensi</w:t>
      </w:r>
      <w:r w:rsidRPr="002C6CF7">
        <w:rPr>
          <w:rFonts w:ascii="Verdana" w:hAnsi="Verdana"/>
          <w:sz w:val="18"/>
          <w:szCs w:val="14"/>
        </w:rPr>
        <w:t xml:space="preserve">dige sammenhengen mellom læringselementene formål, målsettinger, målgruppe, innhold, metoder, evaluering og andre generelle forhold skal i h.h.t. DNVGL-ST-0029 kapitel 3.1.1 analyseres. </w:t>
      </w:r>
    </w:p>
    <w:p w:rsidR="00DB672A" w:rsidRPr="002C6CF7" w:rsidP="00DB672A" w14:paraId="7770B7D6" w14:textId="77777777">
      <w:pPr>
        <w:spacing w:after="120"/>
        <w:jc w:val="both"/>
        <w:rPr>
          <w:rFonts w:ascii="Verdana" w:hAnsi="Verdana"/>
          <w:sz w:val="18"/>
          <w:szCs w:val="14"/>
        </w:rPr>
      </w:pPr>
      <w:r w:rsidRPr="002C6CF7">
        <w:rPr>
          <w:rFonts w:ascii="Verdana" w:hAnsi="Verdana"/>
          <w:sz w:val="18"/>
          <w:szCs w:val="14"/>
        </w:rPr>
        <w:t xml:space="preserve">Opplæringen gjennomføres slik den er planlagt ut fra reglement og de </w:t>
      </w:r>
      <w:r w:rsidRPr="002C6CF7">
        <w:rPr>
          <w:rFonts w:ascii="Verdana" w:hAnsi="Verdana"/>
          <w:sz w:val="18"/>
          <w:szCs w:val="14"/>
        </w:rPr>
        <w:t>rutiner og prosedyrer som samt rammer beskrevet i den enkelte utdanningens studieplan. Resultater av opplæring evalueres fortløpende.</w:t>
      </w:r>
    </w:p>
    <w:p w:rsidR="00DB672A" w:rsidRPr="002C6CF7" w:rsidP="00DB672A" w14:paraId="3A498561" w14:textId="77777777">
      <w:pPr>
        <w:spacing w:after="120"/>
        <w:jc w:val="both"/>
        <w:rPr>
          <w:rFonts w:ascii="Verdana" w:hAnsi="Verdana"/>
        </w:rPr>
      </w:pPr>
      <w:r w:rsidRPr="002C6CF7">
        <w:rPr>
          <w:rFonts w:ascii="Verdana" w:hAnsi="Verdana"/>
          <w:sz w:val="18"/>
          <w:szCs w:val="14"/>
        </w:rPr>
        <w:tab/>
      </w:r>
      <w:r w:rsidRPr="002C6CF7">
        <w:rPr>
          <w:rFonts w:ascii="Verdana" w:hAnsi="Verdana"/>
        </w:rPr>
        <w:tab/>
      </w:r>
    </w:p>
    <w:p w:rsidR="00DB672A" w:rsidRPr="002C6CF7" w:rsidP="00DB672A" w14:paraId="318E9ECD" w14:textId="77777777">
      <w:pPr>
        <w:spacing w:after="120"/>
        <w:jc w:val="both"/>
        <w:rPr>
          <w:rFonts w:ascii="Verdana" w:hAnsi="Verdana"/>
          <w:b/>
          <w:bCs/>
        </w:rPr>
      </w:pPr>
      <w:r w:rsidRPr="002C6CF7">
        <w:rPr>
          <w:rFonts w:ascii="Verdana" w:hAnsi="Verdana"/>
          <w:b/>
          <w:bCs/>
          <w:sz w:val="22"/>
          <w:szCs w:val="18"/>
        </w:rPr>
        <w:t>3.1.2 Administrering</w:t>
      </w:r>
      <w:r w:rsidRPr="002C6CF7">
        <w:rPr>
          <w:rFonts w:ascii="Verdana" w:hAnsi="Verdana"/>
          <w:b/>
          <w:bCs/>
          <w:sz w:val="22"/>
          <w:szCs w:val="18"/>
        </w:rPr>
        <w:t xml:space="preserve"> av</w:t>
      </w:r>
      <w:r w:rsidRPr="002C6CF7">
        <w:rPr>
          <w:rFonts w:ascii="Verdana" w:hAnsi="Verdana"/>
          <w:b/>
          <w:bCs/>
          <w:sz w:val="22"/>
          <w:szCs w:val="18"/>
        </w:rPr>
        <w:t xml:space="preserve"> </w:t>
      </w:r>
      <w:r w:rsidRPr="002C6CF7">
        <w:rPr>
          <w:rFonts w:ascii="Verdana" w:hAnsi="Verdana"/>
          <w:b/>
          <w:bCs/>
          <w:sz w:val="22"/>
          <w:szCs w:val="18"/>
        </w:rPr>
        <w:t>utdannings</w:t>
      </w:r>
      <w:r w:rsidRPr="002C6CF7">
        <w:rPr>
          <w:rFonts w:ascii="Verdana" w:hAnsi="Verdana"/>
          <w:b/>
          <w:bCs/>
          <w:sz w:val="22"/>
          <w:szCs w:val="18"/>
        </w:rPr>
        <w:t>tilbud</w:t>
      </w:r>
      <w:r w:rsidRPr="002C6CF7">
        <w:rPr>
          <w:rFonts w:ascii="Verdana" w:hAnsi="Verdana"/>
          <w:b/>
          <w:bCs/>
          <w:sz w:val="22"/>
          <w:szCs w:val="18"/>
        </w:rPr>
        <w:t xml:space="preserve"> og opplæringer</w:t>
      </w:r>
      <w:r w:rsidRPr="002C6CF7">
        <w:rPr>
          <w:rFonts w:ascii="Verdana" w:hAnsi="Verdana"/>
          <w:b/>
          <w:bCs/>
          <w:sz w:val="22"/>
          <w:szCs w:val="18"/>
        </w:rPr>
        <w:t xml:space="preserve"> </w:t>
      </w:r>
    </w:p>
    <w:p w:rsidR="00DB672A" w:rsidRPr="002C6CF7" w:rsidP="00DB672A" w14:paraId="476ED9AA" w14:textId="77777777">
      <w:pPr>
        <w:spacing w:after="120"/>
        <w:jc w:val="both"/>
        <w:rPr>
          <w:rFonts w:ascii="Verdana" w:hAnsi="Verdana"/>
          <w:sz w:val="20"/>
          <w:szCs w:val="16"/>
        </w:rPr>
      </w:pPr>
      <w:r w:rsidRPr="002C6CF7">
        <w:rPr>
          <w:rFonts w:ascii="Verdana" w:hAnsi="Verdana"/>
          <w:sz w:val="20"/>
          <w:szCs w:val="16"/>
        </w:rPr>
        <w:t>THYF arbeider med utvikling av nye utdanningstilbud/opplæringe</w:t>
      </w:r>
      <w:r w:rsidRPr="002C6CF7">
        <w:rPr>
          <w:rFonts w:ascii="Verdana" w:hAnsi="Verdana"/>
          <w:sz w:val="20"/>
          <w:szCs w:val="16"/>
        </w:rPr>
        <w:t>r i tillegg til arbeid med utvikling og vedlikehold av eksisterende tilbud, se avsnitt 3.1.1.</w:t>
      </w:r>
    </w:p>
    <w:p w:rsidR="00DB672A" w:rsidRPr="002C6CF7" w:rsidP="00DB672A" w14:paraId="02A13BA2" w14:textId="77777777">
      <w:pPr>
        <w:spacing w:after="120"/>
        <w:jc w:val="both"/>
        <w:rPr>
          <w:rFonts w:ascii="Verdana" w:hAnsi="Verdana"/>
          <w:sz w:val="20"/>
          <w:szCs w:val="16"/>
        </w:rPr>
      </w:pPr>
      <w:r w:rsidRPr="002C6CF7">
        <w:rPr>
          <w:rFonts w:ascii="Verdana" w:hAnsi="Verdana"/>
          <w:sz w:val="20"/>
          <w:szCs w:val="16"/>
        </w:rPr>
        <w:t xml:space="preserve">Risiko knyttet til utvikling av nye utdanningstilbud/opplæringer skal vurderes i forhold til skolens strategi, filosofi og gjennomførbarhet. For </w:t>
      </w:r>
      <w:r w:rsidRPr="002C6CF7">
        <w:rPr>
          <w:rFonts w:ascii="Verdana" w:hAnsi="Verdana"/>
          <w:sz w:val="20"/>
          <w:szCs w:val="16"/>
        </w:rPr>
        <w:t>eksempler på stadier eller faser i utvikling av nye utdanningstilbud/opplæringer, se også notat i DNVGL-ST-0029, kapittel 3.1.2</w:t>
      </w:r>
      <w:r>
        <w:rPr>
          <w:rStyle w:val="FootnoteReference"/>
          <w:rFonts w:ascii="Verdana" w:hAnsi="Verdana"/>
          <w:sz w:val="20"/>
          <w:szCs w:val="16"/>
        </w:rPr>
        <w:footnoteReference w:id="4"/>
      </w:r>
      <w:r w:rsidRPr="002C6CF7">
        <w:rPr>
          <w:rFonts w:ascii="Verdana" w:hAnsi="Verdana"/>
          <w:sz w:val="20"/>
          <w:szCs w:val="16"/>
        </w:rPr>
        <w:t>.</w:t>
      </w:r>
    </w:p>
    <w:p w:rsidR="00DB672A" w:rsidRPr="002C6CF7" w:rsidP="00DB672A" w14:paraId="6BE42AA1" w14:textId="545774B0">
      <w:pPr>
        <w:spacing w:after="120"/>
        <w:rPr>
          <w:rFonts w:ascii="Verdana" w:hAnsi="Verdana"/>
          <w:b/>
          <w:bCs/>
        </w:rPr>
      </w:pPr>
    </w:p>
    <w:p w:rsidR="00DB672A" w:rsidRPr="002C6CF7" w:rsidP="00DB672A" w14:paraId="2B444552" w14:textId="77777777">
      <w:pPr>
        <w:spacing w:after="120"/>
        <w:jc w:val="both"/>
        <w:rPr>
          <w:rFonts w:ascii="Verdana" w:hAnsi="Verdana"/>
          <w:b/>
          <w:bCs/>
        </w:rPr>
      </w:pPr>
      <w:r w:rsidRPr="002C6CF7">
        <w:rPr>
          <w:rFonts w:ascii="Verdana" w:hAnsi="Verdana"/>
          <w:b/>
          <w:bCs/>
        </w:rPr>
        <w:t>3</w:t>
      </w:r>
      <w:r w:rsidRPr="002C6CF7">
        <w:rPr>
          <w:rFonts w:ascii="Verdana" w:hAnsi="Verdana"/>
          <w:b/>
          <w:bCs/>
          <w:sz w:val="22"/>
          <w:szCs w:val="18"/>
        </w:rPr>
        <w:t xml:space="preserve">.1.3 Krav til </w:t>
      </w:r>
      <w:r w:rsidRPr="002C6CF7">
        <w:rPr>
          <w:rFonts w:ascii="Verdana" w:hAnsi="Verdana"/>
          <w:b/>
          <w:bCs/>
          <w:sz w:val="22"/>
          <w:szCs w:val="18"/>
        </w:rPr>
        <w:t xml:space="preserve">eksisterende og </w:t>
      </w:r>
      <w:r w:rsidRPr="002C6CF7">
        <w:rPr>
          <w:rFonts w:ascii="Verdana" w:hAnsi="Verdana"/>
          <w:b/>
          <w:bCs/>
          <w:sz w:val="22"/>
          <w:szCs w:val="18"/>
        </w:rPr>
        <w:t xml:space="preserve">nye tilbud </w:t>
      </w:r>
    </w:p>
    <w:p w:rsidR="002C6CF7" w:rsidP="00DB672A" w14:paraId="466497FF" w14:textId="77777777">
      <w:pPr>
        <w:spacing w:after="120"/>
        <w:jc w:val="both"/>
        <w:rPr>
          <w:rFonts w:ascii="Verdana" w:hAnsi="Verdana"/>
          <w:sz w:val="18"/>
          <w:szCs w:val="14"/>
        </w:rPr>
      </w:pPr>
      <w:r w:rsidRPr="002C6CF7">
        <w:rPr>
          <w:rFonts w:ascii="Verdana" w:hAnsi="Verdana"/>
          <w:sz w:val="18"/>
          <w:szCs w:val="14"/>
        </w:rPr>
        <w:t>Krav til utdanningstilbud ved THYF skal fastslås, og registreringer og forte</w:t>
      </w:r>
      <w:r w:rsidRPr="002C6CF7">
        <w:rPr>
          <w:rFonts w:ascii="Verdana" w:hAnsi="Verdana"/>
          <w:sz w:val="18"/>
          <w:szCs w:val="14"/>
        </w:rPr>
        <w:t>gnelser skal vedlikeholdes og arkiveres, slik at de kan verifiseres opp mot gitte lover og krav. Tilbudte utdanninger skal være godkjente</w:t>
      </w:r>
      <w:r>
        <w:rPr>
          <w:rStyle w:val="FootnoteReference"/>
          <w:rFonts w:ascii="Verdana" w:hAnsi="Verdana"/>
          <w:sz w:val="18"/>
          <w:szCs w:val="14"/>
        </w:rPr>
        <w:footnoteReference w:id="5"/>
      </w:r>
      <w:r w:rsidRPr="002C6CF7">
        <w:rPr>
          <w:rFonts w:ascii="Verdana" w:hAnsi="Verdana"/>
          <w:sz w:val="18"/>
          <w:szCs w:val="14"/>
        </w:rPr>
        <w:t xml:space="preserve"> før utdanningstilbudet kan utlyses. </w:t>
      </w:r>
    </w:p>
    <w:p w:rsidR="00DB672A" w:rsidRPr="002C6CF7" w:rsidP="00DB672A" w14:paraId="752424BE" w14:textId="1C27EA21">
      <w:pPr>
        <w:spacing w:after="120"/>
        <w:jc w:val="both"/>
        <w:rPr>
          <w:rFonts w:ascii="Verdana" w:hAnsi="Verdana"/>
          <w:sz w:val="18"/>
          <w:szCs w:val="14"/>
        </w:rPr>
      </w:pPr>
      <w:r>
        <w:rPr>
          <w:rFonts w:ascii="Verdana" w:hAnsi="Verdana"/>
          <w:sz w:val="18"/>
          <w:szCs w:val="14"/>
        </w:rPr>
        <w:br w:type="page"/>
      </w:r>
      <w:r w:rsidRPr="002C6CF7" w:rsidR="00385F58">
        <w:rPr>
          <w:rFonts w:ascii="Verdana" w:hAnsi="Verdana"/>
          <w:sz w:val="18"/>
          <w:szCs w:val="14"/>
        </w:rPr>
        <w:t>I</w:t>
      </w:r>
      <w:r w:rsidRPr="002C6CF7" w:rsidR="00385F58">
        <w:rPr>
          <w:rFonts w:ascii="Verdana" w:hAnsi="Verdana"/>
          <w:sz w:val="18"/>
          <w:szCs w:val="14"/>
        </w:rPr>
        <w:t>nndata ved utforming av utdanningstilbud skal inkludere:</w:t>
      </w:r>
    </w:p>
    <w:p w:rsidR="00DB672A" w:rsidRPr="002C6CF7" w:rsidP="00DB672A" w14:paraId="06A27195" w14:textId="77777777">
      <w:pPr>
        <w:pStyle w:val="ListParagraph"/>
        <w:numPr>
          <w:ilvl w:val="0"/>
          <w:numId w:val="1"/>
        </w:numPr>
        <w:jc w:val="both"/>
        <w:rPr>
          <w:rFonts w:ascii="Verdana" w:hAnsi="Verdana"/>
          <w:sz w:val="18"/>
          <w:szCs w:val="16"/>
        </w:rPr>
      </w:pPr>
      <w:r w:rsidRPr="002C6CF7">
        <w:rPr>
          <w:rFonts w:ascii="Verdana" w:hAnsi="Verdana"/>
          <w:sz w:val="18"/>
          <w:szCs w:val="16"/>
        </w:rPr>
        <w:t>Studentens forventning</w:t>
      </w:r>
      <w:r w:rsidRPr="002C6CF7">
        <w:rPr>
          <w:rFonts w:ascii="Verdana" w:hAnsi="Verdana"/>
          <w:sz w:val="18"/>
          <w:szCs w:val="16"/>
        </w:rPr>
        <w:t>er</w:t>
      </w:r>
      <w:r>
        <w:rPr>
          <w:rStyle w:val="FootnoteReference"/>
          <w:rFonts w:ascii="Verdana" w:hAnsi="Verdana"/>
          <w:sz w:val="18"/>
          <w:szCs w:val="16"/>
        </w:rPr>
        <w:footnoteReference w:id="6"/>
      </w:r>
    </w:p>
    <w:p w:rsidR="00DB672A" w:rsidRPr="002C6CF7" w:rsidP="00DB672A" w14:paraId="20EC0B9E" w14:textId="77777777">
      <w:pPr>
        <w:pStyle w:val="ListParagraph"/>
        <w:numPr>
          <w:ilvl w:val="0"/>
          <w:numId w:val="1"/>
        </w:numPr>
        <w:jc w:val="both"/>
        <w:rPr>
          <w:rFonts w:ascii="Verdana" w:hAnsi="Verdana"/>
          <w:sz w:val="18"/>
          <w:szCs w:val="16"/>
        </w:rPr>
      </w:pPr>
      <w:r w:rsidRPr="002C6CF7">
        <w:rPr>
          <w:rFonts w:ascii="Verdana" w:hAnsi="Verdana"/>
          <w:sz w:val="18"/>
          <w:szCs w:val="16"/>
        </w:rPr>
        <w:t>Funksjonsbeskrivelser og krav til utførelse</w:t>
      </w:r>
    </w:p>
    <w:p w:rsidR="00DB672A" w:rsidRPr="002C6CF7" w:rsidP="00DB672A" w14:paraId="1A865F81" w14:textId="77777777">
      <w:pPr>
        <w:pStyle w:val="ListParagraph"/>
        <w:numPr>
          <w:ilvl w:val="0"/>
          <w:numId w:val="1"/>
        </w:numPr>
        <w:jc w:val="both"/>
        <w:rPr>
          <w:rFonts w:ascii="Verdana" w:hAnsi="Verdana"/>
          <w:sz w:val="18"/>
          <w:szCs w:val="16"/>
        </w:rPr>
      </w:pPr>
      <w:r w:rsidRPr="002C6CF7">
        <w:rPr>
          <w:rFonts w:ascii="Verdana" w:hAnsi="Verdana"/>
          <w:sz w:val="18"/>
          <w:szCs w:val="16"/>
        </w:rPr>
        <w:t>Lov- og forskriftskrav</w:t>
      </w:r>
    </w:p>
    <w:p w:rsidR="00DB672A" w:rsidRPr="002C6CF7" w:rsidP="00DB672A" w14:paraId="300A86B2" w14:textId="77777777">
      <w:pPr>
        <w:pStyle w:val="ListParagraph"/>
        <w:numPr>
          <w:ilvl w:val="0"/>
          <w:numId w:val="1"/>
        </w:numPr>
        <w:jc w:val="both"/>
        <w:rPr>
          <w:rFonts w:ascii="Verdana" w:hAnsi="Verdana"/>
          <w:sz w:val="18"/>
          <w:szCs w:val="16"/>
        </w:rPr>
      </w:pPr>
      <w:r w:rsidRPr="002C6CF7">
        <w:rPr>
          <w:rFonts w:ascii="Verdana" w:hAnsi="Verdana"/>
          <w:sz w:val="18"/>
          <w:szCs w:val="16"/>
        </w:rPr>
        <w:t>Andre krav av betydning for utvikling av tilbudet</w:t>
      </w:r>
    </w:p>
    <w:p w:rsidR="00DB672A" w:rsidRPr="002C6CF7" w:rsidP="00DB672A" w14:paraId="1EDE224C" w14:textId="77777777">
      <w:pPr>
        <w:pStyle w:val="ListParagraph"/>
        <w:numPr>
          <w:ilvl w:val="0"/>
          <w:numId w:val="1"/>
        </w:numPr>
        <w:jc w:val="both"/>
        <w:rPr>
          <w:rFonts w:ascii="Verdana" w:hAnsi="Verdana"/>
          <w:sz w:val="18"/>
          <w:szCs w:val="16"/>
        </w:rPr>
      </w:pPr>
      <w:r w:rsidRPr="002C6CF7">
        <w:rPr>
          <w:rFonts w:ascii="Verdana" w:hAnsi="Verdana"/>
          <w:sz w:val="18"/>
          <w:szCs w:val="16"/>
        </w:rPr>
        <w:t>De ansvarliges kvalifikasjoner</w:t>
      </w:r>
    </w:p>
    <w:p w:rsidR="00DB672A" w:rsidRPr="002C6CF7" w:rsidP="00DB672A" w14:paraId="4AD689F6" w14:textId="77777777">
      <w:pPr>
        <w:spacing w:after="120"/>
        <w:jc w:val="both"/>
        <w:rPr>
          <w:rFonts w:ascii="Verdana" w:hAnsi="Verdana"/>
          <w:sz w:val="18"/>
          <w:szCs w:val="14"/>
        </w:rPr>
      </w:pPr>
      <w:r w:rsidRPr="002C6CF7">
        <w:rPr>
          <w:rFonts w:ascii="Verdana" w:hAnsi="Verdana"/>
          <w:sz w:val="18"/>
          <w:szCs w:val="14"/>
        </w:rPr>
        <w:t>I tillegg vil det for noen av utdanningene foreligge særkrav og være behov for tilleggsgodkjenning og/e</w:t>
      </w:r>
      <w:r w:rsidRPr="002C6CF7">
        <w:rPr>
          <w:rFonts w:ascii="Verdana" w:hAnsi="Verdana"/>
          <w:sz w:val="18"/>
          <w:szCs w:val="14"/>
        </w:rPr>
        <w:t>ller sertifisering. Dette gjelder eksempelvis krav fra IMO (STCW-konvensjonen) for de maritime utdanningene (skipsoffiser) og krav til sertifiseringer for instruktører innenfor utdanningen i sveiseteknikk, se kapittel 1.2.</w:t>
      </w:r>
    </w:p>
    <w:p w:rsidR="00DB672A" w:rsidRPr="002C6CF7" w:rsidP="00DB672A" w14:paraId="23777FBB" w14:textId="77777777">
      <w:pPr>
        <w:spacing w:after="120"/>
        <w:jc w:val="both"/>
        <w:rPr>
          <w:rFonts w:ascii="Verdana" w:hAnsi="Verdana"/>
          <w:sz w:val="18"/>
          <w:szCs w:val="14"/>
        </w:rPr>
      </w:pPr>
      <w:r w:rsidRPr="002C6CF7">
        <w:rPr>
          <w:rFonts w:ascii="Verdana" w:hAnsi="Verdana"/>
          <w:sz w:val="18"/>
          <w:szCs w:val="14"/>
        </w:rPr>
        <w:t>THYF kan derfor ikke fastsette kr</w:t>
      </w:r>
      <w:r w:rsidRPr="002C6CF7">
        <w:rPr>
          <w:rFonts w:ascii="Verdana" w:hAnsi="Verdana"/>
          <w:sz w:val="18"/>
          <w:szCs w:val="14"/>
        </w:rPr>
        <w:t xml:space="preserve">avene til egne eller nye utdanninger. Ved utvikling og vedlikehold av utdanninger ved THYF, må det tas hensyn til eventuelle nye krav fra myndighetene, f.eks. gjennom internasjonale/nasjonale lover, regler og forskrifter. </w:t>
      </w:r>
    </w:p>
    <w:p w:rsidR="00DB672A" w:rsidRPr="002C6CF7" w:rsidP="00DB672A" w14:paraId="3A6BE8D9" w14:textId="77777777">
      <w:pPr>
        <w:spacing w:after="120"/>
        <w:jc w:val="both"/>
        <w:rPr>
          <w:rFonts w:ascii="Verdana" w:hAnsi="Verdana"/>
          <w:sz w:val="18"/>
          <w:szCs w:val="14"/>
        </w:rPr>
      </w:pPr>
    </w:p>
    <w:p w:rsidR="00DB672A" w:rsidRPr="002C6CF7" w:rsidP="00DB672A" w14:paraId="58D0A459" w14:textId="77777777">
      <w:pPr>
        <w:spacing w:after="120"/>
        <w:jc w:val="both"/>
        <w:rPr>
          <w:rFonts w:ascii="Verdana" w:hAnsi="Verdana"/>
          <w:b/>
          <w:bCs/>
          <w:sz w:val="22"/>
          <w:szCs w:val="18"/>
        </w:rPr>
      </w:pPr>
      <w:r w:rsidRPr="002C6CF7">
        <w:rPr>
          <w:rFonts w:ascii="Verdana" w:hAnsi="Verdana"/>
          <w:b/>
          <w:bCs/>
          <w:sz w:val="22"/>
          <w:szCs w:val="18"/>
        </w:rPr>
        <w:t xml:space="preserve">3.1.4 </w:t>
      </w:r>
      <w:r w:rsidRPr="002C6CF7">
        <w:rPr>
          <w:rFonts w:ascii="Verdana" w:hAnsi="Verdana"/>
          <w:b/>
          <w:bCs/>
          <w:sz w:val="22"/>
          <w:szCs w:val="18"/>
        </w:rPr>
        <w:t>Resultater fra utdanninger</w:t>
      </w:r>
      <w:r w:rsidRPr="002C6CF7">
        <w:rPr>
          <w:rFonts w:ascii="Verdana" w:hAnsi="Verdana"/>
          <w:b/>
          <w:bCs/>
          <w:sz w:val="22"/>
          <w:szCs w:val="18"/>
        </w:rPr>
        <w:t xml:space="preserve"> </w:t>
      </w:r>
      <w:r w:rsidRPr="002C6CF7">
        <w:rPr>
          <w:rFonts w:ascii="Verdana" w:hAnsi="Verdana"/>
          <w:b/>
          <w:bCs/>
          <w:sz w:val="22"/>
          <w:szCs w:val="18"/>
        </w:rPr>
        <w:t>tilbud</w:t>
      </w:r>
      <w:r w:rsidRPr="002C6CF7">
        <w:rPr>
          <w:rFonts w:ascii="Verdana" w:hAnsi="Verdana"/>
          <w:b/>
          <w:bCs/>
          <w:sz w:val="22"/>
          <w:szCs w:val="18"/>
        </w:rPr>
        <w:t>t</w:t>
      </w:r>
      <w:r w:rsidRPr="002C6CF7">
        <w:rPr>
          <w:rFonts w:ascii="Verdana" w:hAnsi="Verdana"/>
          <w:b/>
          <w:bCs/>
          <w:sz w:val="22"/>
          <w:szCs w:val="18"/>
        </w:rPr>
        <w:t xml:space="preserve"> </w:t>
      </w:r>
      <w:r w:rsidRPr="002C6CF7">
        <w:rPr>
          <w:rFonts w:ascii="Verdana" w:hAnsi="Verdana"/>
          <w:b/>
          <w:bCs/>
          <w:sz w:val="22"/>
          <w:szCs w:val="18"/>
        </w:rPr>
        <w:t>av THYF</w:t>
      </w:r>
    </w:p>
    <w:p w:rsidR="00DB672A" w:rsidRPr="002C6CF7" w:rsidP="00DB672A" w14:paraId="573DCA2A" w14:textId="77777777">
      <w:pPr>
        <w:spacing w:after="120"/>
        <w:jc w:val="both"/>
        <w:rPr>
          <w:rFonts w:ascii="Verdana" w:hAnsi="Verdana"/>
          <w:sz w:val="18"/>
          <w:szCs w:val="14"/>
        </w:rPr>
      </w:pPr>
      <w:r w:rsidRPr="002C6CF7">
        <w:rPr>
          <w:rFonts w:ascii="Verdana" w:hAnsi="Verdana"/>
          <w:sz w:val="18"/>
          <w:szCs w:val="14"/>
        </w:rPr>
        <w:t xml:space="preserve">Prosesser knyttet til utforming av utdanningstilbud frem til utdanningen kan utlyses som tilbud er beskrevet i avsnitt 3.1.3. </w:t>
      </w:r>
    </w:p>
    <w:p w:rsidR="00DB672A" w:rsidRPr="002C6CF7" w:rsidP="00DB672A" w14:paraId="7881934F" w14:textId="77777777">
      <w:pPr>
        <w:spacing w:after="120"/>
        <w:jc w:val="both"/>
        <w:rPr>
          <w:rFonts w:ascii="Verdana" w:hAnsi="Verdana"/>
          <w:sz w:val="18"/>
          <w:szCs w:val="14"/>
        </w:rPr>
      </w:pPr>
      <w:r w:rsidRPr="002C6CF7">
        <w:rPr>
          <w:rFonts w:ascii="Verdana" w:hAnsi="Verdana"/>
          <w:sz w:val="18"/>
          <w:szCs w:val="14"/>
        </w:rPr>
        <w:t>Resultater av utdanningen skal:</w:t>
      </w:r>
    </w:p>
    <w:p w:rsidR="00DB672A" w:rsidRPr="002C6CF7" w:rsidP="00DB672A" w14:paraId="1DFD26AD" w14:textId="77777777">
      <w:pPr>
        <w:pStyle w:val="ListParagraph"/>
        <w:numPr>
          <w:ilvl w:val="0"/>
          <w:numId w:val="1"/>
        </w:numPr>
        <w:jc w:val="both"/>
        <w:rPr>
          <w:rFonts w:ascii="Verdana" w:hAnsi="Verdana"/>
          <w:sz w:val="18"/>
          <w:szCs w:val="16"/>
        </w:rPr>
      </w:pPr>
      <w:r w:rsidRPr="002C6CF7">
        <w:rPr>
          <w:rFonts w:ascii="Verdana" w:hAnsi="Verdana"/>
          <w:sz w:val="18"/>
          <w:szCs w:val="16"/>
        </w:rPr>
        <w:t>Imøtekomme inngående krav til opplæring</w:t>
      </w:r>
    </w:p>
    <w:p w:rsidR="00DB672A" w:rsidRPr="002C6CF7" w:rsidP="00DB672A" w14:paraId="13C180C2" w14:textId="77777777">
      <w:pPr>
        <w:pStyle w:val="ListParagraph"/>
        <w:numPr>
          <w:ilvl w:val="0"/>
          <w:numId w:val="1"/>
        </w:numPr>
        <w:jc w:val="both"/>
        <w:rPr>
          <w:rFonts w:ascii="Verdana" w:hAnsi="Verdana"/>
          <w:sz w:val="18"/>
          <w:szCs w:val="16"/>
        </w:rPr>
      </w:pPr>
      <w:r w:rsidRPr="002C6CF7">
        <w:rPr>
          <w:rFonts w:ascii="Verdana" w:hAnsi="Verdana"/>
          <w:sz w:val="18"/>
          <w:szCs w:val="16"/>
        </w:rPr>
        <w:t xml:space="preserve">Tilføre passende informasjon for videre </w:t>
      </w:r>
      <w:r w:rsidRPr="002C6CF7">
        <w:rPr>
          <w:rFonts w:ascii="Verdana" w:hAnsi="Verdana"/>
          <w:sz w:val="18"/>
          <w:szCs w:val="16"/>
        </w:rPr>
        <w:t>utforming og utførelse av opplæringen</w:t>
      </w:r>
    </w:p>
    <w:p w:rsidR="00DB672A" w:rsidRPr="002C6CF7" w:rsidP="00DB672A" w14:paraId="01755804" w14:textId="77777777">
      <w:pPr>
        <w:pStyle w:val="ListParagraph"/>
        <w:numPr>
          <w:ilvl w:val="0"/>
          <w:numId w:val="1"/>
        </w:numPr>
        <w:jc w:val="both"/>
        <w:rPr>
          <w:rFonts w:ascii="Verdana" w:hAnsi="Verdana"/>
          <w:sz w:val="18"/>
          <w:szCs w:val="16"/>
        </w:rPr>
      </w:pPr>
      <w:r w:rsidRPr="002C6CF7">
        <w:rPr>
          <w:rFonts w:ascii="Verdana" w:hAnsi="Verdana"/>
          <w:sz w:val="18"/>
          <w:szCs w:val="16"/>
        </w:rPr>
        <w:t>Spesifisere risikoer og forhold vedr. sikkerhet knyttet til opplæringen.</w:t>
      </w:r>
    </w:p>
    <w:p w:rsidR="00DB672A" w:rsidRPr="002C6CF7" w:rsidP="00DB672A" w14:paraId="0DBE3426" w14:textId="77777777">
      <w:pPr>
        <w:pStyle w:val="ListParagraph"/>
        <w:numPr>
          <w:ilvl w:val="0"/>
          <w:numId w:val="1"/>
        </w:numPr>
        <w:jc w:val="both"/>
        <w:rPr>
          <w:rFonts w:ascii="Verdana" w:hAnsi="Verdana"/>
          <w:sz w:val="18"/>
          <w:szCs w:val="16"/>
        </w:rPr>
      </w:pPr>
      <w:r w:rsidRPr="002C6CF7">
        <w:rPr>
          <w:rFonts w:ascii="Verdana" w:hAnsi="Verdana"/>
          <w:sz w:val="18"/>
          <w:szCs w:val="16"/>
        </w:rPr>
        <w:t>Spesifisere nødvendige ressurser for gjennomføring av opplæringen.</w:t>
      </w:r>
    </w:p>
    <w:p w:rsidR="00DB672A" w:rsidRPr="002C6CF7" w:rsidP="00DB672A" w14:paraId="54E34D1A" w14:textId="77777777">
      <w:pPr>
        <w:spacing w:after="120"/>
        <w:jc w:val="both"/>
        <w:rPr>
          <w:rFonts w:ascii="Verdana" w:hAnsi="Verdana"/>
          <w:sz w:val="18"/>
          <w:szCs w:val="14"/>
        </w:rPr>
      </w:pPr>
      <w:r w:rsidRPr="002C6CF7">
        <w:rPr>
          <w:rFonts w:ascii="Verdana" w:hAnsi="Verdana"/>
          <w:sz w:val="18"/>
          <w:szCs w:val="14"/>
        </w:rPr>
        <w:t>Utvikling og utførelse av opplæring forutsetter bruk av en blanding av ulike o</w:t>
      </w:r>
      <w:r w:rsidRPr="002C6CF7">
        <w:rPr>
          <w:rFonts w:ascii="Verdana" w:hAnsi="Verdana"/>
          <w:sz w:val="18"/>
          <w:szCs w:val="14"/>
        </w:rPr>
        <w:t>pplæringsmetoder som skal bidra til å øke effekten av opplæringen og fremme aktiv deltakelse</w:t>
      </w:r>
      <w:r>
        <w:rPr>
          <w:rStyle w:val="FootnoteReference"/>
          <w:rFonts w:ascii="Verdana" w:hAnsi="Verdana"/>
          <w:sz w:val="18"/>
          <w:szCs w:val="14"/>
        </w:rPr>
        <w:footnoteReference w:id="7"/>
      </w:r>
      <w:r w:rsidRPr="002C6CF7">
        <w:rPr>
          <w:rFonts w:ascii="Verdana" w:hAnsi="Verdana"/>
          <w:sz w:val="18"/>
          <w:szCs w:val="14"/>
        </w:rPr>
        <w:t>.</w:t>
      </w:r>
    </w:p>
    <w:p w:rsidR="001C0FFA" w:rsidRPr="002C6CF7" w:rsidP="00DB672A" w14:paraId="2687E2EB" w14:textId="77777777">
      <w:pPr>
        <w:spacing w:after="120"/>
        <w:rPr>
          <w:rFonts w:ascii="Verdana" w:hAnsi="Verdana"/>
          <w:sz w:val="18"/>
          <w:szCs w:val="14"/>
        </w:rPr>
      </w:pPr>
    </w:p>
    <w:p w:rsidR="001C0FFA" w:rsidRPr="002C6CF7" w14:paraId="2687E2EC" w14:textId="77777777">
      <w:pPr>
        <w:rPr>
          <w:rFonts w:ascii="Verdana" w:hAnsi="Verdana"/>
        </w:rPr>
      </w:pPr>
    </w:p>
    <w:p w:rsidR="001C0FFA" w:rsidRPr="002C6CF7" w:rsidP="00DB672A" w14:paraId="2687E2ED" w14:textId="77777777">
      <w:pPr>
        <w:spacing w:after="120"/>
        <w:rPr>
          <w:rFonts w:ascii="Verdana" w:hAnsi="Verdana"/>
          <w:b/>
          <w:bCs/>
          <w:color w:val="808080"/>
          <w:sz w:val="22"/>
          <w:szCs w:val="18"/>
        </w:rPr>
      </w:pPr>
      <w:r w:rsidRPr="002C6CF7">
        <w:rPr>
          <w:rFonts w:ascii="Verdana" w:hAnsi="Verdana"/>
          <w:b/>
          <w:bCs/>
          <w:sz w:val="22"/>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43"/>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1" w:name="EK_Referanse"/>
            <w:r>
              <w:rPr>
                <w:b w:val="0"/>
                <w:color w:val="0000FF"/>
                <w:u w:val="single"/>
              </w:rPr>
              <w:t xml:space="preserve"> </w:t>
            </w:r>
          </w:p>
        </w:tc>
        <w:tc>
          <w:tcPr>
            <w:tcBorders>
              <w:top w:val="nil"/>
              <w:left w:val="nil"/>
              <w:bottom w:val="nil"/>
              <w:right w:val="nil"/>
            </w:tcBorders>
          </w:tcPr>
          <w:p>
            <w:pPr>
              <w:numPr>
                <w:ilvl w:val="0"/>
                <w:numId w:val="0"/>
              </w:numPr>
              <w:rPr>
                <w:b w:val="0"/>
                <w:color w:val="0000FF"/>
                <w:u w:val="single"/>
              </w:rPr>
            </w:pPr>
            <w:r>
              <w:rPr>
                <w:b w:val="0"/>
                <w:color w:val="0000FF"/>
                <w:u w:val="single"/>
              </w:rPr>
              <w:t xml:space="preserve"> </w:t>
            </w:r>
          </w:p>
        </w:tc>
      </w:tr>
    </w:tbl>
    <w:p w:rsidR="00DB672A" w:rsidRPr="002C6CF7" w14:paraId="2151A668" w14:textId="77777777">
      <w:pPr>
        <w:rPr>
          <w:rFonts w:ascii="Verdana" w:hAnsi="Verdana"/>
        </w:rPr>
      </w:pPr>
      <w:bookmarkEnd w:id="1"/>
    </w:p>
    <w:p w:rsidR="001C0FFA" w:rsidRPr="002C6CF7" w:rsidP="00DB672A" w14:paraId="2687E2F1" w14:textId="3E4612F2">
      <w:pPr>
        <w:spacing w:after="120"/>
        <w:rPr>
          <w:rFonts w:ascii="Verdana" w:hAnsi="Verdana"/>
          <w:b/>
          <w:bCs/>
          <w:sz w:val="22"/>
          <w:szCs w:val="18"/>
        </w:rPr>
      </w:pPr>
      <w:r w:rsidRPr="002C6CF7">
        <w:rPr>
          <w:rFonts w:ascii="Verdana" w:hAnsi="Verdana"/>
          <w:b/>
          <w:bCs/>
          <w:sz w:val="22"/>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2" w:name="EK_EksRef"/>
            <w:hyperlink r:id="rId6" w:history="1">
              <w:r>
                <w:rPr>
                  <w:b w:val="0"/>
                  <w:color w:val="0000FF"/>
                  <w:u w:val="single"/>
                </w:rPr>
                <w:t>.22.4 DNV-ST-0029-MTP, Section 4 Development and maintenance</w:t>
              </w:r>
            </w:hyperlink>
          </w:p>
        </w:tc>
      </w:tr>
      <w:tr>
        <w:tblPrEx>
          <w:tblW w:w="5000" w:type="pct"/>
          <w:tblCellMar>
            <w:left w:w="108" w:type="dxa"/>
            <w:right w:w="108" w:type="dxa"/>
          </w:tblCellMar>
        </w:tblPrEx>
        <w:tc>
          <w:tcPr>
            <w:tcBorders>
              <w:top w:val="nil"/>
              <w:left w:val="nil"/>
              <w:bottom w:val="nil"/>
              <w:right w:val="nil"/>
            </w:tcBorders>
          </w:tcPr>
          <w:p>
            <w:pPr>
              <w:numPr>
                <w:ilvl w:val="0"/>
                <w:numId w:val="0"/>
              </w:numPr>
              <w:rPr>
                <w:b w:val="0"/>
                <w:color w:val="0000FF"/>
                <w:u w:val="single"/>
              </w:rPr>
            </w:pPr>
            <w:hyperlink r:id="rId7" w:history="1">
              <w:r>
                <w:rPr>
                  <w:b w:val="0"/>
                  <w:color w:val="0000FF"/>
                  <w:u w:val="single"/>
                </w:rPr>
                <w:t>.23 DNV-ST-0008 Learning programmes</w:t>
              </w:r>
            </w:hyperlink>
          </w:p>
        </w:tc>
      </w:tr>
      <w:tr>
        <w:tblPrEx>
          <w:tblW w:w="5000" w:type="pct"/>
          <w:tblCellMar>
            <w:left w:w="108" w:type="dxa"/>
            <w:right w:w="108" w:type="dxa"/>
          </w:tblCellMar>
        </w:tblPrEx>
        <w:tc>
          <w:tcPr>
            <w:tcBorders>
              <w:top w:val="nil"/>
              <w:left w:val="nil"/>
              <w:bottom w:val="nil"/>
              <w:right w:val="nil"/>
            </w:tcBorders>
          </w:tcPr>
          <w:p>
            <w:pPr>
              <w:numPr>
                <w:ilvl w:val="0"/>
                <w:numId w:val="0"/>
              </w:numPr>
              <w:rPr>
                <w:b w:val="0"/>
                <w:color w:val="0000FF"/>
                <w:u w:val="single"/>
              </w:rPr>
            </w:pPr>
            <w:hyperlink r:id="rId8" w:history="1">
              <w:r>
                <w:rPr>
                  <w:b w:val="0"/>
                  <w:color w:val="0000FF"/>
                  <w:u w:val="single"/>
                </w:rPr>
                <w:t>04 Forskrift om kvalifikasjonskrav og sertifikater for sjøfolk 22. desember 2011, nr. 1523, § 14), med senere endringer</w:t>
              </w:r>
            </w:hyperlink>
          </w:p>
        </w:tc>
      </w:tr>
      <w:tr>
        <w:tblPrEx>
          <w:tblW w:w="5000" w:type="pct"/>
          <w:tblCellMar>
            <w:left w:w="108" w:type="dxa"/>
            <w:right w:w="108" w:type="dxa"/>
          </w:tblCellMar>
        </w:tblPrEx>
        <w:tc>
          <w:tcPr>
            <w:tcBorders>
              <w:top w:val="nil"/>
              <w:left w:val="nil"/>
              <w:bottom w:val="nil"/>
              <w:right w:val="nil"/>
            </w:tcBorders>
          </w:tcPr>
          <w:p>
            <w:pPr>
              <w:numPr>
                <w:ilvl w:val="0"/>
                <w:numId w:val="0"/>
              </w:numPr>
              <w:rPr>
                <w:b w:val="0"/>
                <w:color w:val="0000FF"/>
                <w:u w:val="single"/>
              </w:rPr>
            </w:pPr>
            <w:hyperlink r:id="rId9" w:anchor="document/SF/forskrift/2011-12-22-1523" w:history="1">
              <w:r>
                <w:rPr>
                  <w:b w:val="0"/>
                  <w:color w:val="0000FF"/>
                  <w:u w:val="single"/>
                </w:rPr>
                <w:t xml:space="preserve"> STCW (Standards of Training, Certification and Watchkeeping for Seafarers) med endring av forskriften, 1. juli 2020</w:t>
              </w:r>
            </w:hyperlink>
          </w:p>
        </w:tc>
      </w:tr>
      <w:tr>
        <w:tblPrEx>
          <w:tblW w:w="5000" w:type="pct"/>
          <w:tblCellMar>
            <w:left w:w="108" w:type="dxa"/>
            <w:right w:w="108" w:type="dxa"/>
          </w:tblCellMar>
        </w:tblPrEx>
        <w:tc>
          <w:tcPr>
            <w:tcBorders>
              <w:top w:val="nil"/>
              <w:left w:val="nil"/>
              <w:bottom w:val="nil"/>
              <w:right w:val="nil"/>
            </w:tcBorders>
          </w:tcPr>
          <w:p>
            <w:pPr>
              <w:numPr>
                <w:ilvl w:val="0"/>
                <w:numId w:val="0"/>
              </w:numPr>
              <w:rPr>
                <w:b w:val="0"/>
                <w:color w:val="0000FF"/>
                <w:u w:val="single"/>
              </w:rPr>
            </w:pPr>
            <w:hyperlink r:id="rId10" w:history="1">
              <w:r>
                <w:rPr>
                  <w:b w:val="0"/>
                  <w:color w:val="0000FF"/>
                  <w:u w:val="single"/>
                </w:rPr>
                <w:t>07 Lov om høyere yrkesfaglig utdanning (fagskoleloven)</w:t>
              </w:r>
            </w:hyperlink>
          </w:p>
        </w:tc>
      </w:tr>
    </w:tbl>
    <w:p w:rsidR="001C0FFA" w:rsidRPr="002C6CF7" w14:paraId="2687E2FC" w14:textId="77777777">
      <w:pPr>
        <w:rPr>
          <w:rFonts w:ascii="Verdana" w:hAnsi="Verdana"/>
          <w:sz w:val="18"/>
          <w:szCs w:val="14"/>
        </w:rPr>
      </w:pPr>
      <w:bookmarkEnd w:id="2"/>
    </w:p>
    <w:p w:rsidR="001C0FFA" w:rsidRPr="002C6CF7" w14:paraId="2687E2FD" w14:textId="77777777">
      <w:pPr>
        <w:rPr>
          <w:rFonts w:ascii="Verdana" w:hAnsi="Verdana"/>
          <w:sz w:val="18"/>
          <w:szCs w:val="14"/>
        </w:rPr>
      </w:pPr>
    </w:p>
    <w:sectPr>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2687E3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2687E30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FFA" w14:paraId="2687E309" w14:textId="44FFB8D1">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18.06.2024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24A" w14:paraId="2687E30A" w14:textId="77777777">
      <w:r>
        <w:separator/>
      </w:r>
    </w:p>
  </w:footnote>
  <w:footnote w:type="continuationSeparator" w:id="1">
    <w:p w:rsidR="005B624A" w14:paraId="2687E30C" w14:textId="77777777">
      <w:r>
        <w:continuationSeparator/>
      </w:r>
    </w:p>
  </w:footnote>
  <w:footnote w:id="2">
    <w:p w:rsidR="00DB672A" w:rsidRPr="002C6CF7" w:rsidP="00DB672A" w14:paraId="2F11C5BC" w14:textId="77777777">
      <w:pPr>
        <w:pStyle w:val="FootnoteText"/>
        <w:ind w:left="142" w:hanging="142"/>
        <w:jc w:val="both"/>
        <w:rPr>
          <w:sz w:val="16"/>
          <w:szCs w:val="16"/>
        </w:rPr>
      </w:pPr>
      <w:r w:rsidRPr="002C6CF7">
        <w:rPr>
          <w:rStyle w:val="FootnoteReference"/>
          <w:sz w:val="16"/>
          <w:szCs w:val="16"/>
        </w:rPr>
        <w:footnoteRef/>
      </w:r>
      <w:r w:rsidRPr="002C6CF7">
        <w:rPr>
          <w:sz w:val="16"/>
          <w:szCs w:val="16"/>
        </w:rPr>
        <w:t xml:space="preserve"> Studiestedene ved THYF tilbyr utdanninger innenfor mange ulike områder av næringslivet. Eksempler på representanter for næringslivet vil være bransjeorganisasjoner og bedrifter innenfor bransjene (maritim og marin sektor, elektro, elkraft og automatiserin</w:t>
      </w:r>
      <w:r w:rsidRPr="002C6CF7">
        <w:rPr>
          <w:sz w:val="16"/>
          <w:szCs w:val="16"/>
        </w:rPr>
        <w:t>g, bygge- og anleggsbransje, bergindustri, helsesektoren, m.fl.).</w:t>
      </w:r>
    </w:p>
    <w:p w:rsidR="00DB672A" w:rsidRPr="002C6CF7" w:rsidP="00DB672A" w14:paraId="57DB9304" w14:textId="77777777">
      <w:pPr>
        <w:pStyle w:val="FootnoteText"/>
        <w:ind w:left="142" w:hanging="142"/>
        <w:jc w:val="both"/>
        <w:rPr>
          <w:sz w:val="16"/>
          <w:szCs w:val="16"/>
        </w:rPr>
      </w:pPr>
    </w:p>
  </w:footnote>
  <w:footnote w:id="3">
    <w:p w:rsidR="00DB672A" w:rsidRPr="002C6CF7" w:rsidP="00DB672A" w14:paraId="1DA3D281" w14:textId="77777777">
      <w:pPr>
        <w:pStyle w:val="FootnoteText"/>
        <w:ind w:left="142" w:hanging="142"/>
        <w:jc w:val="both"/>
        <w:rPr>
          <w:sz w:val="16"/>
          <w:szCs w:val="16"/>
        </w:rPr>
      </w:pPr>
      <w:r w:rsidRPr="002C6CF7">
        <w:rPr>
          <w:rStyle w:val="FootnoteReference"/>
          <w:sz w:val="16"/>
          <w:szCs w:val="16"/>
        </w:rPr>
        <w:footnoteRef/>
      </w:r>
      <w:r w:rsidRPr="002C6CF7">
        <w:rPr>
          <w:sz w:val="16"/>
          <w:szCs w:val="16"/>
        </w:rPr>
        <w:t xml:space="preserve"> Representanter for myndighetene er først og fremst NOKUT, Sjøfartsdirektoratet, Direktoratet for mineralforvaltning.</w:t>
      </w:r>
    </w:p>
    <w:p w:rsidR="00DB672A" w:rsidRPr="002C6CF7" w:rsidP="00DB672A" w14:paraId="30CF4E5E" w14:textId="77777777">
      <w:pPr>
        <w:pStyle w:val="FootnoteText"/>
        <w:ind w:left="142" w:hanging="142"/>
        <w:jc w:val="both"/>
        <w:rPr>
          <w:sz w:val="16"/>
          <w:szCs w:val="16"/>
        </w:rPr>
      </w:pPr>
    </w:p>
  </w:footnote>
  <w:footnote w:id="4">
    <w:p w:rsidR="00DB672A" w:rsidRPr="002C6CF7" w:rsidP="00DB672A" w14:paraId="1BFE4C22" w14:textId="3C9D4B86">
      <w:pPr>
        <w:pStyle w:val="FootnoteText"/>
        <w:ind w:left="142" w:hanging="142"/>
        <w:jc w:val="both"/>
        <w:rPr>
          <w:sz w:val="16"/>
          <w:szCs w:val="16"/>
        </w:rPr>
      </w:pPr>
      <w:r w:rsidRPr="002C6CF7">
        <w:rPr>
          <w:rStyle w:val="FootnoteReference"/>
          <w:sz w:val="16"/>
          <w:szCs w:val="16"/>
        </w:rPr>
        <w:footnoteRef/>
      </w:r>
      <w:r w:rsidRPr="002C6CF7">
        <w:rPr>
          <w:sz w:val="16"/>
          <w:szCs w:val="16"/>
        </w:rPr>
        <w:t xml:space="preserve"> Studie av gjennomførbarhet, prosjektplan, krav til utdanningen, lær</w:t>
      </w:r>
      <w:r w:rsidRPr="002C6CF7">
        <w:rPr>
          <w:sz w:val="16"/>
          <w:szCs w:val="16"/>
        </w:rPr>
        <w:t>eplan med læringsutbyttebeskrivelser, læremateriell, grunnlag for evaluering og vurdering, verifisering osv.</w:t>
      </w:r>
    </w:p>
    <w:p w:rsidR="00DB672A" w:rsidRPr="002C6CF7" w:rsidP="00DB672A" w14:paraId="79672905" w14:textId="77777777">
      <w:pPr>
        <w:pStyle w:val="FootnoteText"/>
        <w:ind w:left="142" w:hanging="142"/>
        <w:jc w:val="both"/>
        <w:rPr>
          <w:sz w:val="16"/>
          <w:szCs w:val="16"/>
        </w:rPr>
      </w:pPr>
    </w:p>
  </w:footnote>
  <w:footnote w:id="5">
    <w:p w:rsidR="00DB672A" w:rsidRPr="002C6CF7" w:rsidP="00DB672A" w14:paraId="05BB81FB" w14:textId="77777777">
      <w:pPr>
        <w:ind w:left="142" w:hanging="142"/>
        <w:jc w:val="both"/>
        <w:rPr>
          <w:sz w:val="16"/>
          <w:szCs w:val="16"/>
        </w:rPr>
      </w:pPr>
      <w:r w:rsidRPr="002C6CF7">
        <w:rPr>
          <w:rStyle w:val="FootnoteReference"/>
          <w:sz w:val="16"/>
          <w:szCs w:val="16"/>
        </w:rPr>
        <w:footnoteRef/>
      </w:r>
      <w:r w:rsidRPr="002C6CF7">
        <w:rPr>
          <w:sz w:val="16"/>
          <w:szCs w:val="16"/>
        </w:rPr>
        <w:t xml:space="preserve"> </w:t>
      </w:r>
      <w:r w:rsidRPr="002C6CF7">
        <w:rPr>
          <w:sz w:val="16"/>
          <w:szCs w:val="16"/>
        </w:rPr>
        <w:t xml:space="preserve">I Norge er det NOKUT som er ansvarlig for å akkreditere nye fagskoletilbud. Dette gjøres i h.h.t. </w:t>
      </w:r>
      <w:r w:rsidRPr="002C6CF7">
        <w:rPr>
          <w:sz w:val="16"/>
          <w:szCs w:val="16"/>
        </w:rPr>
        <w:t>kvalifikasjonsrammeverket for høyere utdanning nivå 5 etter søknad fra fagskolen. Alle grunnleggende forutsetninger må være på plass før NOKUT vurderer søknaden om godkjenning. Søknaden skal blant annet inneholde beskrivelser av læringsutbytte for emner og</w:t>
      </w:r>
      <w:r w:rsidRPr="002C6CF7">
        <w:rPr>
          <w:sz w:val="16"/>
          <w:szCs w:val="16"/>
        </w:rPr>
        <w:t xml:space="preserve"> tema og en plan for hvordan læringsutbyttet oppnås (studieplan).</w:t>
      </w:r>
    </w:p>
    <w:p w:rsidR="00DB672A" w:rsidRPr="002C6CF7" w:rsidP="00DB672A" w14:paraId="0576348E" w14:textId="77777777">
      <w:pPr>
        <w:ind w:left="142"/>
        <w:jc w:val="both"/>
        <w:rPr>
          <w:sz w:val="16"/>
          <w:szCs w:val="16"/>
        </w:rPr>
      </w:pPr>
      <w:r w:rsidRPr="002C6CF7">
        <w:rPr>
          <w:sz w:val="16"/>
          <w:szCs w:val="16"/>
        </w:rPr>
        <w:t xml:space="preserve">Søknaden vurderes av et faglig utvalg </w:t>
      </w:r>
      <w:r w:rsidRPr="002C6CF7">
        <w:rPr>
          <w:sz w:val="16"/>
          <w:szCs w:val="16"/>
        </w:rPr>
        <w:t>oppnevnt</w:t>
      </w:r>
      <w:r w:rsidRPr="002C6CF7">
        <w:rPr>
          <w:sz w:val="16"/>
          <w:szCs w:val="16"/>
        </w:rPr>
        <w:t xml:space="preserve"> av NOKUT. Akkreditering skjer etter </w:t>
      </w:r>
      <w:r w:rsidRPr="002C6CF7">
        <w:rPr>
          <w:sz w:val="16"/>
          <w:szCs w:val="16"/>
        </w:rPr>
        <w:t xml:space="preserve">en </w:t>
      </w:r>
      <w:r w:rsidRPr="002C6CF7">
        <w:rPr>
          <w:sz w:val="16"/>
          <w:szCs w:val="16"/>
        </w:rPr>
        <w:t>godkjenning av søknaden basert på innstilling fra fagutvalget som har behandlet søknaden.</w:t>
      </w:r>
    </w:p>
    <w:p w:rsidR="00DB672A" w:rsidRPr="002C6CF7" w:rsidP="00DB672A" w14:paraId="22CAF22C" w14:textId="77777777">
      <w:pPr>
        <w:pStyle w:val="FootnoteText"/>
        <w:rPr>
          <w:sz w:val="16"/>
          <w:szCs w:val="16"/>
        </w:rPr>
      </w:pPr>
    </w:p>
  </w:footnote>
  <w:footnote w:id="6">
    <w:p w:rsidR="00DB672A" w:rsidRPr="002C6CF7" w:rsidP="00DB672A" w14:paraId="5EB93981" w14:textId="77777777">
      <w:pPr>
        <w:pStyle w:val="FootnoteText"/>
        <w:rPr>
          <w:sz w:val="16"/>
          <w:szCs w:val="16"/>
        </w:rPr>
      </w:pPr>
      <w:r w:rsidRPr="002C6CF7">
        <w:rPr>
          <w:rStyle w:val="FootnoteReference"/>
          <w:sz w:val="16"/>
          <w:szCs w:val="16"/>
        </w:rPr>
        <w:footnoteRef/>
      </w:r>
      <w:r w:rsidRPr="002C6CF7">
        <w:rPr>
          <w:sz w:val="16"/>
          <w:szCs w:val="16"/>
        </w:rPr>
        <w:t xml:space="preserve"> Eksempler e</w:t>
      </w:r>
      <w:r w:rsidRPr="002C6CF7">
        <w:rPr>
          <w:sz w:val="16"/>
          <w:szCs w:val="16"/>
        </w:rPr>
        <w:t>r kompetansematriser, kursmodeller, retningslinjer og kompetansestandarder.</w:t>
      </w:r>
    </w:p>
    <w:p w:rsidR="00DB672A" w:rsidRPr="002C6CF7" w:rsidP="00DB672A" w14:paraId="02DFFA8F" w14:textId="77777777">
      <w:pPr>
        <w:pStyle w:val="FootnoteText"/>
        <w:rPr>
          <w:sz w:val="16"/>
          <w:szCs w:val="16"/>
        </w:rPr>
      </w:pPr>
    </w:p>
  </w:footnote>
  <w:footnote w:id="7">
    <w:p w:rsidR="00DB672A" w:rsidRPr="002C6CF7" w:rsidP="00DB672A" w14:paraId="659BFA9E" w14:textId="77777777">
      <w:pPr>
        <w:pStyle w:val="FootnoteText"/>
        <w:rPr>
          <w:sz w:val="16"/>
          <w:szCs w:val="16"/>
        </w:rPr>
      </w:pPr>
      <w:r w:rsidRPr="002C6CF7">
        <w:rPr>
          <w:rStyle w:val="FootnoteReference"/>
          <w:sz w:val="16"/>
          <w:szCs w:val="16"/>
        </w:rPr>
        <w:footnoteRef/>
      </w:r>
      <w:r w:rsidRPr="002C6CF7">
        <w:rPr>
          <w:sz w:val="16"/>
          <w:szCs w:val="16"/>
        </w:rPr>
        <w:t xml:space="preserve"> Se også standarden DNV-ST-0008.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2687E2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2687E301"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2687E2FF"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Kapittel 3.1 Planlegging</w:t>
          </w:r>
          <w:r>
            <w:rPr>
              <w:b/>
              <w:color w:val="000080"/>
            </w:rPr>
            <w:fldChar w:fldCharType="end"/>
          </w:r>
        </w:p>
      </w:tc>
      <w:tc>
        <w:tcPr>
          <w:tcW w:w="1968" w:type="dxa"/>
          <w:gridSpan w:val="2"/>
          <w:tcBorders>
            <w:bottom w:val="nil"/>
          </w:tcBorders>
        </w:tcPr>
        <w:p w:rsidR="001C0FFA" w14:paraId="2687E300"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1.2.9</w:t>
          </w:r>
          <w:r>
            <w:rPr>
              <w:sz w:val="20"/>
            </w:rPr>
            <w:fldChar w:fldCharType="end"/>
          </w:r>
        </w:p>
      </w:tc>
    </w:tr>
    <w:tr w14:paraId="2687E304"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2687E302" w14:textId="77777777">
          <w:pPr>
            <w:spacing w:before="80"/>
            <w:rPr>
              <w:sz w:val="20"/>
            </w:rPr>
          </w:pPr>
        </w:p>
      </w:tc>
      <w:tc>
        <w:tcPr>
          <w:tcW w:w="1962" w:type="dxa"/>
          <w:tcBorders>
            <w:left w:val="nil"/>
            <w:bottom w:val="nil"/>
            <w:right w:val="nil"/>
          </w:tcBorders>
        </w:tcPr>
        <w:p w:rsidR="001C0FFA" w14:paraId="2687E303" w14:textId="77777777">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sz w:val="20"/>
              <w:lang w:val="nb-NO" w:eastAsia="nb-NO" w:bidi="ar-SA"/>
            </w:rPr>
            <w:t>2</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2</w:t>
          </w:r>
          <w:r>
            <w:rPr>
              <w:sz w:val="20"/>
            </w:rPr>
            <w:fldChar w:fldCharType="end"/>
          </w:r>
        </w:p>
      </w:tc>
    </w:tr>
  </w:tbl>
  <w:p w:rsidR="001C0FFA" w14:paraId="2687E305"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A4D" w14:paraId="2687E3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542BF2"/>
    <w:multiLevelType w:val="hybridMultilevel"/>
    <w:tmpl w:val="66403554"/>
    <w:lvl w:ilvl="0">
      <w:start w:val="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F3BF2"/>
    <w:rsid w:val="0015581C"/>
    <w:rsid w:val="001A500E"/>
    <w:rsid w:val="001C0FFA"/>
    <w:rsid w:val="00280477"/>
    <w:rsid w:val="002C6CF7"/>
    <w:rsid w:val="00385F58"/>
    <w:rsid w:val="003D4093"/>
    <w:rsid w:val="00415440"/>
    <w:rsid w:val="004F400D"/>
    <w:rsid w:val="005037FB"/>
    <w:rsid w:val="00593ADB"/>
    <w:rsid w:val="005B624A"/>
    <w:rsid w:val="005F7187"/>
    <w:rsid w:val="00A631DE"/>
    <w:rsid w:val="00B84574"/>
    <w:rsid w:val="00BF75FB"/>
    <w:rsid w:val="00CD5A4D"/>
    <w:rsid w:val="00DB672A"/>
    <w:rsid w:val="00E34F49"/>
    <w:rsid w:val="00F46D50"/>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UB"/>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2687E2D7"/>
  <w15:docId w15:val="{4BA27D8B-61E4-4431-81A4-4065285B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link w:val="FotnotetekstTegn"/>
    <w:uiPriority w:val="99"/>
    <w:unhideWhenUsed/>
    <w:rsid w:val="00DB672A"/>
    <w:rPr>
      <w:rFonts w:eastAsia="Calibri"/>
      <w:sz w:val="20"/>
      <w:lang w:eastAsia="en-US"/>
    </w:rPr>
  </w:style>
  <w:style w:type="character" w:customStyle="1" w:styleId="FotnotetekstTegn">
    <w:name w:val="Fotnotetekst Tegn"/>
    <w:basedOn w:val="DefaultParagraphFont"/>
    <w:link w:val="FootnoteText"/>
    <w:uiPriority w:val="99"/>
    <w:rsid w:val="00DB672A"/>
    <w:rPr>
      <w:rFonts w:eastAsia="Calibri"/>
      <w:lang w:eastAsia="en-US"/>
    </w:rPr>
  </w:style>
  <w:style w:type="character" w:styleId="FootnoteReference">
    <w:name w:val="footnote reference"/>
    <w:uiPriority w:val="99"/>
    <w:unhideWhenUsed/>
    <w:rsid w:val="00DB672A"/>
    <w:rPr>
      <w:vertAlign w:val="superscript"/>
    </w:rPr>
  </w:style>
  <w:style w:type="paragraph" w:styleId="ListParagraph">
    <w:name w:val="List Paragraph"/>
    <w:basedOn w:val="Normal"/>
    <w:uiPriority w:val="34"/>
    <w:qFormat/>
    <w:rsid w:val="00DB672A"/>
    <w:pPr>
      <w:spacing w:after="120" w:line="259"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lovdata.no/dokument/NL/lov/2018-06-08-28"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yperlink" Target="https://standards.dnv.com/explorer/document/F63D7FA6C45F460DA09A0DBEFB1C4C1F/4" TargetMode="External" /><Relationship Id="rId7" Type="http://schemas.openxmlformats.org/officeDocument/2006/relationships/hyperlink" Target="https://rules.dnv.com/docs/pdf/DNV/ST/2021-10/DNV-ST-0008.pdf" TargetMode="External" /><Relationship Id="rId8" Type="http://schemas.openxmlformats.org/officeDocument/2006/relationships/hyperlink" Target="https://lovdata.no/dokument/SF/forskrift/2011-12-22-1523" TargetMode="External" /><Relationship Id="rId9" Type="http://schemas.openxmlformats.org/officeDocument/2006/relationships/hyperlink" Target="https://lovdata.no/pro/"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15</TotalTime>
  <Pages>2</Pages>
  <Words>730</Words>
  <Characters>3873</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Kapittel 3.1 Planlegging</vt:lpstr>
      <vt:lpstr>	</vt:lpstr>
    </vt:vector>
  </TitlesOfParts>
  <Company>Datakvalitet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Kapittel 3.1 Planlegging</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4</cp:revision>
  <dcterms:created xsi:type="dcterms:W3CDTF">2020-01-20T07:07:00Z</dcterms:created>
  <dcterms:modified xsi:type="dcterms:W3CDTF">2022-10-13T17:25:00Z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Kapittel 3.1 Planlegging</vt:lpwstr>
  </property>
  <property fmtid="{D5CDD505-2E9C-101B-9397-08002B2CF9AE}" pid="4" name="EK_DokType">
    <vt:lpwstr>MTP</vt:lpwstr>
  </property>
  <property fmtid="{D5CDD505-2E9C-101B-9397-08002B2CF9AE}" pid="5" name="EK_EKPrintMerke">
    <vt:lpwstr>Uoffisiell utskrift er kun gyldig på utskriftsdato</vt:lpwstr>
  </property>
  <property fmtid="{D5CDD505-2E9C-101B-9397-08002B2CF9AE}" pid="6" name="EK_GjelderFra">
    <vt:lpwstr>17.10.2022</vt:lpwstr>
  </property>
  <property fmtid="{D5CDD505-2E9C-101B-9397-08002B2CF9AE}" pid="7" name="EK_RefNr">
    <vt:lpwstr>1.2.9</vt:lpwstr>
  </property>
  <property fmtid="{D5CDD505-2E9C-101B-9397-08002B2CF9AE}" pid="8" name="EK_Signatur">
    <vt:lpwstr>Svein Ove Dyrdal</vt:lpwstr>
  </property>
  <property fmtid="{D5CDD505-2E9C-101B-9397-08002B2CF9AE}" pid="9" name="EK_SkrevetAv">
    <vt:lpwstr>Hans Tore Mikkelsen</vt:lpwstr>
  </property>
  <property fmtid="{D5CDD505-2E9C-101B-9397-08002B2CF9AE}" pid="10" name="EK_Utgave">
    <vt:lpwstr>1.00</vt:lpwstr>
  </property>
  <property fmtid="{D5CDD505-2E9C-101B-9397-08002B2CF9AE}" pid="11" name="EK_Watermark">
    <vt:lpwstr>Vannmerke</vt:lpwstr>
  </property>
  <property fmtid="{D5CDD505-2E9C-101B-9397-08002B2CF9AE}" pid="12" name="XR00001">
    <vt:lpwstr/>
  </property>
  <property fmtid="{D5CDD505-2E9C-101B-9397-08002B2CF9AE}" pid="13" name="XR00022">
    <vt:lpwstr>3</vt:lpwstr>
  </property>
  <property fmtid="{D5CDD505-2E9C-101B-9397-08002B2CF9AE}" pid="14" name="XR00067">
    <vt:lpwstr/>
  </property>
  <property fmtid="{D5CDD505-2E9C-101B-9397-08002B2CF9AE}" pid="15" name="XR00101">
    <vt:lpwstr>04</vt:lpwstr>
  </property>
  <property fmtid="{D5CDD505-2E9C-101B-9397-08002B2CF9AE}" pid="16" name="XR00104">
    <vt:lpwstr>07</vt:lpwstr>
  </property>
  <property fmtid="{D5CDD505-2E9C-101B-9397-08002B2CF9AE}" pid="17" name="XR00149">
    <vt:lpwstr>.22.4</vt:lpwstr>
  </property>
  <property fmtid="{D5CDD505-2E9C-101B-9397-08002B2CF9AE}" pid="18" name="XR00152">
    <vt:lpwstr>.23</vt:lpwstr>
  </property>
  <property fmtid="{D5CDD505-2E9C-101B-9397-08002B2CF9AE}" pid="19" name="XRF00001">
    <vt:lpwstr>Maritime Training Providers-DNVGL-ST-0029</vt:lpwstr>
  </property>
  <property fmtid="{D5CDD505-2E9C-101B-9397-08002B2CF9AE}" pid="20" name="XRF00022">
    <vt:lpwstr>Development and  maintenance</vt:lpwstr>
  </property>
  <property fmtid="{D5CDD505-2E9C-101B-9397-08002B2CF9AE}" pid="21" name="XRF00067">
    <vt:lpwstr>STCW (Standards of Training, Certification and Watchkeeping for Seafarers) med endring av forskriften, 1. juli 2020</vt:lpwstr>
  </property>
  <property fmtid="{D5CDD505-2E9C-101B-9397-08002B2CF9AE}" pid="22" name="XRF00101">
    <vt:lpwstr>Forskrift om kvalifikasjonskrav og sertifikater for sjøfolk 22. desember 2011, nr. 1523, § 14), med senere endringer</vt:lpwstr>
  </property>
  <property fmtid="{D5CDD505-2E9C-101B-9397-08002B2CF9AE}" pid="23" name="XRF00104">
    <vt:lpwstr>Lov om høyere yrkesfaglig utdanning (fagskoleloven)</vt:lpwstr>
  </property>
  <property fmtid="{D5CDD505-2E9C-101B-9397-08002B2CF9AE}" pid="24" name="XRF00149">
    <vt:lpwstr>DNV-ST-0029-MTP, Section 4 Development and maintenance</vt:lpwstr>
  </property>
  <property fmtid="{D5CDD505-2E9C-101B-9397-08002B2CF9AE}" pid="25" name="XRF00152">
    <vt:lpwstr>DNV-ST-0008 Learning programmes</vt:lpwstr>
  </property>
  <property fmtid="{D5CDD505-2E9C-101B-9397-08002B2CF9AE}" pid="26" name="XRL00001">
    <vt:lpwstr> Maritime Training Providers-DNVGL-ST-0029</vt:lpwstr>
  </property>
  <property fmtid="{D5CDD505-2E9C-101B-9397-08002B2CF9AE}" pid="27" name="XRL00022">
    <vt:lpwstr>3 Development and  maintenance</vt:lpwstr>
  </property>
  <property fmtid="{D5CDD505-2E9C-101B-9397-08002B2CF9AE}" pid="28" name="XRL00067">
    <vt:lpwstr> STCW (Standards of Training, Certification and Watchkeeping for Seafarers) med endring av forskriften, 1. juli 2020</vt:lpwstr>
  </property>
  <property fmtid="{D5CDD505-2E9C-101B-9397-08002B2CF9AE}" pid="29" name="XRL00101">
    <vt:lpwstr>04 Forskrift om kvalifikasjonskrav og sertifikater for sjøfolk 22. desember 2011, nr. 1523, § 14), med senere endringer</vt:lpwstr>
  </property>
  <property fmtid="{D5CDD505-2E9C-101B-9397-08002B2CF9AE}" pid="30" name="XRL00104">
    <vt:lpwstr>07 Lov om høyere yrkesfaglig utdanning (fagskoleloven)</vt:lpwstr>
  </property>
  <property fmtid="{D5CDD505-2E9C-101B-9397-08002B2CF9AE}" pid="31" name="XRL00149">
    <vt:lpwstr>.22.4 DNV-ST-0029-MTP, Section 4 Development and maintenance</vt:lpwstr>
  </property>
  <property fmtid="{D5CDD505-2E9C-101B-9397-08002B2CF9AE}" pid="32" name="XRL00152">
    <vt:lpwstr>.23 DNV-ST-0008 Learning programmes</vt:lpwstr>
  </property>
  <property fmtid="{D5CDD505-2E9C-101B-9397-08002B2CF9AE}" pid="33" name="XRT00001">
    <vt:lpwstr>Maritime Training Providers-DNVGL-ST-0029</vt:lpwstr>
  </property>
  <property fmtid="{D5CDD505-2E9C-101B-9397-08002B2CF9AE}" pid="34" name="XRT00022">
    <vt:lpwstr>Development and  maintenance</vt:lpwstr>
  </property>
  <property fmtid="{D5CDD505-2E9C-101B-9397-08002B2CF9AE}" pid="35" name="XRT00067">
    <vt:lpwstr>STCW (Standards of Training, Certification and Watchkeeping for Seafarers) med endring av forskriften, 1. juli 2020</vt:lpwstr>
  </property>
  <property fmtid="{D5CDD505-2E9C-101B-9397-08002B2CF9AE}" pid="36" name="XRT00101">
    <vt:lpwstr>Forskrift om kvalifikasjonskrav og sertifikater for sjøfolk 22. desember 2011, nr. 1523, § 14), med senere endringer</vt:lpwstr>
  </property>
  <property fmtid="{D5CDD505-2E9C-101B-9397-08002B2CF9AE}" pid="37" name="XRT00104">
    <vt:lpwstr>Lov om høyere yrkesfaglig utdanning (fagskoleloven)</vt:lpwstr>
  </property>
  <property fmtid="{D5CDD505-2E9C-101B-9397-08002B2CF9AE}" pid="38" name="XRT00149">
    <vt:lpwstr>DNV-ST-0029-MTP, Section 4 Development and maintenance</vt:lpwstr>
  </property>
  <property fmtid="{D5CDD505-2E9C-101B-9397-08002B2CF9AE}" pid="39" name="XRT00152">
    <vt:lpwstr>DNV-ST-0008 Learning programmes</vt:lpwstr>
  </property>
</Properties>
</file>