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14118321"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D4027C" w:rsidP="00D4027C" w14:paraId="1411831F" w14:textId="555AFAA3">
            <w:pPr>
              <w:spacing w:before="120" w:after="120"/>
              <w:rPr>
                <w:rFonts w:ascii="Verdana" w:hAnsi="Verdana"/>
                <w:b/>
                <w:sz w:val="28"/>
              </w:rPr>
            </w:pPr>
            <w:r>
              <w:rPr>
                <w:rFonts w:ascii="Verdana" w:hAnsi="Verdan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7.9pt">
                  <v:imagedata r:id="rId5" o:title="Logo THYF"/>
                </v:shape>
              </w:pict>
            </w:r>
          </w:p>
        </w:tc>
        <w:tc>
          <w:tcPr>
            <w:tcW w:w="2126" w:type="dxa"/>
            <w:tcBorders>
              <w:top w:val="single" w:sz="12" w:space="0" w:color="auto"/>
              <w:left w:val="nil"/>
              <w:bottom w:val="single" w:sz="6" w:space="0" w:color="auto"/>
            </w:tcBorders>
          </w:tcPr>
          <w:p w:rsidR="001C0FFA" w:rsidRPr="00D4027C" w14:paraId="14118320" w14:textId="77777777">
            <w:pPr>
              <w:spacing w:before="180" w:after="120"/>
              <w:rPr>
                <w:rFonts w:ascii="Verdana" w:hAnsi="Verdana"/>
              </w:rPr>
            </w:pPr>
            <w:r w:rsidRPr="00D4027C">
              <w:rPr>
                <w:rFonts w:ascii="Verdana" w:hAnsi="Verdana"/>
                <w:sz w:val="16"/>
              </w:rPr>
              <w:t xml:space="preserve">Dok.id.: </w:t>
            </w:r>
            <w:r w:rsidRPr="00D4027C">
              <w:rPr>
                <w:rFonts w:ascii="Verdana" w:hAnsi="Verdana"/>
                <w:sz w:val="16"/>
              </w:rPr>
              <w:fldChar w:fldCharType="begin" w:fldLock="1"/>
            </w:r>
            <w:r w:rsidRPr="00D4027C">
              <w:rPr>
                <w:rFonts w:ascii="Verdana" w:hAnsi="Verdana"/>
                <w:color w:val="000080"/>
              </w:rPr>
              <w:instrText xml:space="preserve"> DOCPROPERTY EK_RefNr </w:instrText>
            </w:r>
            <w:r w:rsidRPr="00D4027C">
              <w:rPr>
                <w:rFonts w:ascii="Verdana" w:hAnsi="Verdana"/>
                <w:sz w:val="16"/>
              </w:rPr>
              <w:fldChar w:fldCharType="separate"/>
            </w:r>
            <w:r w:rsidRPr="00D4027C">
              <w:rPr>
                <w:rFonts w:ascii="Verdana" w:hAnsi="Verdana"/>
                <w:color w:val="000080"/>
              </w:rPr>
              <w:t>1.2.8</w:t>
            </w:r>
            <w:r w:rsidRPr="00D4027C">
              <w:rPr>
                <w:rFonts w:ascii="Verdana" w:hAnsi="Verdana"/>
                <w:sz w:val="16"/>
              </w:rPr>
              <w:fldChar w:fldCharType="end"/>
            </w:r>
          </w:p>
        </w:tc>
      </w:tr>
      <w:tr w14:paraId="14118324"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rsidRPr="00D4027C" w14:paraId="14118322" w14:textId="77777777">
            <w:pPr>
              <w:spacing w:before="80" w:after="80"/>
              <w:rPr>
                <w:rFonts w:ascii="Verdana" w:hAnsi="Verdana"/>
                <w:b/>
              </w:rPr>
            </w:pPr>
            <w:r w:rsidRPr="00D4027C">
              <w:rPr>
                <w:rFonts w:ascii="Verdana" w:hAnsi="Verdana"/>
                <w:b/>
              </w:rPr>
              <w:fldChar w:fldCharType="begin" w:fldLock="1"/>
            </w:r>
            <w:r w:rsidRPr="00D4027C">
              <w:rPr>
                <w:rFonts w:ascii="Verdana" w:hAnsi="Verdana"/>
                <w:b/>
                <w:color w:val="000080"/>
              </w:rPr>
              <w:instrText xml:space="preserve"> DOCPROPERTY EK_DokTittel </w:instrText>
            </w:r>
            <w:r w:rsidRPr="00D4027C">
              <w:rPr>
                <w:rFonts w:ascii="Verdana" w:hAnsi="Verdana"/>
                <w:b/>
              </w:rPr>
              <w:fldChar w:fldCharType="separate"/>
            </w:r>
            <w:r w:rsidRPr="00D4027C">
              <w:rPr>
                <w:rFonts w:ascii="Verdana" w:hAnsi="Verdana"/>
                <w:b/>
                <w:color w:val="000080"/>
              </w:rPr>
              <w:t>Kapittel 2.6 Personalets kompetanse og opplæring</w:t>
            </w:r>
            <w:r w:rsidRPr="00D4027C">
              <w:rPr>
                <w:rFonts w:ascii="Verdana" w:hAnsi="Verdana"/>
                <w:b/>
              </w:rPr>
              <w:fldChar w:fldCharType="end"/>
            </w:r>
            <w:bookmarkStart w:id="0" w:name="tempHer"/>
            <w:bookmarkEnd w:id="0"/>
          </w:p>
        </w:tc>
        <w:tc>
          <w:tcPr>
            <w:tcW w:w="2125" w:type="dxa"/>
            <w:tcBorders>
              <w:top w:val="single" w:sz="6" w:space="0" w:color="auto"/>
              <w:left w:val="nil"/>
              <w:bottom w:val="single" w:sz="6" w:space="0" w:color="auto"/>
            </w:tcBorders>
          </w:tcPr>
          <w:p w:rsidR="001C0FFA" w:rsidRPr="00D4027C" w14:paraId="14118323" w14:textId="77777777">
            <w:pPr>
              <w:spacing w:before="80" w:after="80"/>
              <w:rPr>
                <w:rFonts w:ascii="Verdana" w:hAnsi="Verdana"/>
              </w:rPr>
            </w:pPr>
            <w:r w:rsidRPr="00D4027C">
              <w:rPr>
                <w:rFonts w:ascii="Verdana" w:hAnsi="Verdana"/>
              </w:rPr>
              <w:fldChar w:fldCharType="begin" w:fldLock="1"/>
            </w:r>
            <w:r w:rsidRPr="00D4027C">
              <w:rPr>
                <w:rFonts w:ascii="Verdana" w:hAnsi="Verdana"/>
                <w:color w:val="000080"/>
              </w:rPr>
              <w:instrText xml:space="preserve"> DOCPROPERTY EK_DokType </w:instrText>
            </w:r>
            <w:r w:rsidRPr="00D4027C">
              <w:rPr>
                <w:rFonts w:ascii="Verdana" w:hAnsi="Verdana"/>
              </w:rPr>
              <w:fldChar w:fldCharType="separate"/>
            </w:r>
            <w:r w:rsidRPr="00D4027C">
              <w:rPr>
                <w:rFonts w:ascii="Verdana" w:hAnsi="Verdana"/>
                <w:color w:val="000080"/>
              </w:rPr>
              <w:t>MTP</w:t>
            </w:r>
            <w:r w:rsidRPr="00D4027C">
              <w:rPr>
                <w:rFonts w:ascii="Verdana" w:hAnsi="Verdana"/>
              </w:rPr>
              <w:fldChar w:fldCharType="end"/>
            </w:r>
          </w:p>
        </w:tc>
      </w:tr>
      <w:tr w14:paraId="1411832F"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D4027C" w14:paraId="14118325" w14:textId="77777777">
            <w:pPr>
              <w:rPr>
                <w:rFonts w:ascii="Verdana" w:hAnsi="Verdana"/>
                <w:color w:val="000080"/>
                <w:sz w:val="20"/>
              </w:rPr>
            </w:pPr>
            <w:r w:rsidRPr="00D4027C">
              <w:rPr>
                <w:rFonts w:ascii="Verdana" w:hAnsi="Verdana"/>
                <w:sz w:val="16"/>
              </w:rPr>
              <w:t>Utgave:</w:t>
            </w:r>
          </w:p>
          <w:p w:rsidR="001C0FFA" w:rsidRPr="00D4027C" w14:paraId="14118326" w14:textId="77777777">
            <w:pPr>
              <w:jc w:val="center"/>
              <w:rPr>
                <w:rFonts w:ascii="Verdana" w:hAnsi="Verdana"/>
                <w:sz w:val="20"/>
              </w:rPr>
            </w:pPr>
            <w:r w:rsidRPr="00D4027C">
              <w:rPr>
                <w:rFonts w:ascii="Verdana" w:hAnsi="Verdana"/>
                <w:sz w:val="18"/>
                <w:szCs w:val="18"/>
              </w:rPr>
              <w:fldChar w:fldCharType="begin" w:fldLock="1"/>
            </w:r>
            <w:r w:rsidRPr="00D4027C">
              <w:rPr>
                <w:rFonts w:ascii="Verdana" w:hAnsi="Verdana"/>
                <w:color w:val="000080"/>
                <w:sz w:val="18"/>
                <w:szCs w:val="18"/>
              </w:rPr>
              <w:instrText xml:space="preserve"> DOCPROPERTY EK_Utgave </w:instrText>
            </w:r>
            <w:r w:rsidRPr="00D4027C">
              <w:rPr>
                <w:rFonts w:ascii="Verdana" w:hAnsi="Verdana"/>
                <w:sz w:val="18"/>
                <w:szCs w:val="18"/>
              </w:rPr>
              <w:fldChar w:fldCharType="separate"/>
            </w:r>
            <w:r w:rsidRPr="00D4027C">
              <w:rPr>
                <w:rFonts w:ascii="Verdana" w:hAnsi="Verdana"/>
                <w:color w:val="000080"/>
                <w:sz w:val="18"/>
                <w:szCs w:val="18"/>
              </w:rPr>
              <w:t>0.01</w:t>
            </w:r>
            <w:r w:rsidRPr="00D4027C">
              <w:rPr>
                <w:rFonts w:ascii="Verdana" w:hAnsi="Verdana"/>
                <w:sz w:val="18"/>
                <w:szCs w:val="18"/>
              </w:rPr>
              <w:fldChar w:fldCharType="end"/>
            </w:r>
          </w:p>
        </w:tc>
        <w:tc>
          <w:tcPr>
            <w:tcW w:w="2268" w:type="dxa"/>
            <w:tcBorders>
              <w:top w:val="nil"/>
              <w:left w:val="single" w:sz="6" w:space="0" w:color="auto"/>
              <w:bottom w:val="single" w:sz="12" w:space="0" w:color="auto"/>
              <w:right w:val="nil"/>
            </w:tcBorders>
          </w:tcPr>
          <w:p w:rsidR="001C0FFA" w:rsidRPr="00D4027C" w14:paraId="14118327" w14:textId="77777777">
            <w:pPr>
              <w:rPr>
                <w:rFonts w:ascii="Verdana" w:hAnsi="Verdana"/>
                <w:sz w:val="20"/>
              </w:rPr>
            </w:pPr>
            <w:r w:rsidRPr="00D4027C">
              <w:rPr>
                <w:rFonts w:ascii="Verdana" w:hAnsi="Verdana"/>
                <w:sz w:val="16"/>
              </w:rPr>
              <w:t>Skrevet av:</w:t>
            </w:r>
          </w:p>
          <w:p w:rsidR="001C0FFA" w:rsidRPr="00D4027C" w14:paraId="14118328" w14:textId="77777777">
            <w:pPr>
              <w:jc w:val="center"/>
              <w:rPr>
                <w:rFonts w:ascii="Verdana" w:hAnsi="Verdana"/>
                <w:sz w:val="20"/>
              </w:rPr>
            </w:pPr>
            <w:r w:rsidRPr="00D4027C">
              <w:rPr>
                <w:rFonts w:ascii="Verdana" w:hAnsi="Verdana"/>
                <w:sz w:val="18"/>
                <w:szCs w:val="18"/>
              </w:rPr>
              <w:fldChar w:fldCharType="begin" w:fldLock="1"/>
            </w:r>
            <w:r w:rsidRPr="00D4027C">
              <w:rPr>
                <w:rFonts w:ascii="Verdana" w:hAnsi="Verdana"/>
                <w:color w:val="000080"/>
                <w:sz w:val="18"/>
                <w:szCs w:val="18"/>
              </w:rPr>
              <w:instrText xml:space="preserve"> DOCPROPERTY EK_SkrevetAv </w:instrText>
            </w:r>
            <w:r w:rsidRPr="00D4027C">
              <w:rPr>
                <w:rFonts w:ascii="Verdana" w:hAnsi="Verdana"/>
                <w:sz w:val="18"/>
                <w:szCs w:val="18"/>
              </w:rPr>
              <w:fldChar w:fldCharType="separate"/>
            </w:r>
            <w:r w:rsidRPr="00D4027C">
              <w:rPr>
                <w:rFonts w:ascii="Verdana" w:hAnsi="Verdana"/>
                <w:color w:val="000080"/>
                <w:sz w:val="18"/>
                <w:szCs w:val="18"/>
              </w:rPr>
              <w:t>HANMI</w:t>
            </w:r>
            <w:r w:rsidRPr="00D4027C">
              <w:rPr>
                <w:rFonts w:ascii="Verdana" w:hAnsi="Verdana"/>
                <w:sz w:val="18"/>
                <w:szCs w:val="18"/>
              </w:rPr>
              <w:fldChar w:fldCharType="end"/>
            </w:r>
          </w:p>
        </w:tc>
        <w:tc>
          <w:tcPr>
            <w:tcW w:w="1417" w:type="dxa"/>
            <w:tcBorders>
              <w:top w:val="nil"/>
              <w:left w:val="single" w:sz="6" w:space="0" w:color="auto"/>
              <w:bottom w:val="single" w:sz="12" w:space="0" w:color="auto"/>
              <w:right w:val="nil"/>
            </w:tcBorders>
          </w:tcPr>
          <w:p w:rsidR="001C0FFA" w:rsidRPr="00D4027C" w14:paraId="14118329" w14:textId="77777777">
            <w:pPr>
              <w:rPr>
                <w:rFonts w:ascii="Verdana" w:hAnsi="Verdana"/>
                <w:sz w:val="16"/>
              </w:rPr>
            </w:pPr>
            <w:r w:rsidRPr="00D4027C">
              <w:rPr>
                <w:rFonts w:ascii="Verdana" w:hAnsi="Verdana"/>
                <w:sz w:val="16"/>
              </w:rPr>
              <w:t>Gjelder fra:</w:t>
            </w:r>
          </w:p>
          <w:p w:rsidR="001C0FFA" w:rsidRPr="00D4027C" w14:paraId="1411832A" w14:textId="77777777">
            <w:pPr>
              <w:jc w:val="center"/>
              <w:rPr>
                <w:rFonts w:ascii="Verdana" w:hAnsi="Verdana"/>
                <w:sz w:val="18"/>
                <w:szCs w:val="18"/>
              </w:rPr>
            </w:pPr>
            <w:r w:rsidRPr="00D4027C">
              <w:rPr>
                <w:rFonts w:ascii="Verdana" w:hAnsi="Verdana"/>
                <w:sz w:val="18"/>
                <w:szCs w:val="18"/>
              </w:rPr>
              <w:fldChar w:fldCharType="begin" w:fldLock="1"/>
            </w:r>
            <w:r w:rsidRPr="00D4027C">
              <w:rPr>
                <w:rFonts w:ascii="Verdana" w:hAnsi="Verdana"/>
                <w:color w:val="000080"/>
                <w:sz w:val="18"/>
                <w:szCs w:val="18"/>
              </w:rPr>
              <w:instrText xml:space="preserve"> DOCPROPERTY EK_GjelderFra </w:instrText>
            </w:r>
            <w:r w:rsidRPr="00D4027C">
              <w:rPr>
                <w:rFonts w:ascii="Verdana" w:hAnsi="Verdana"/>
                <w:sz w:val="18"/>
                <w:szCs w:val="18"/>
              </w:rPr>
              <w:fldChar w:fldCharType="separate"/>
            </w:r>
            <w:r w:rsidRPr="00D4027C">
              <w:rPr>
                <w:rFonts w:ascii="Verdana" w:hAnsi="Verdana"/>
                <w:color w:val="000080"/>
                <w:sz w:val="18"/>
                <w:szCs w:val="18"/>
              </w:rPr>
              <w:t>13.10.2022</w:t>
            </w:r>
            <w:r w:rsidRPr="00D4027C">
              <w:rPr>
                <w:rFonts w:ascii="Verdana" w:hAnsi="Verdana"/>
                <w:sz w:val="18"/>
                <w:szCs w:val="18"/>
              </w:rPr>
              <w:fldChar w:fldCharType="end"/>
            </w:r>
          </w:p>
        </w:tc>
        <w:tc>
          <w:tcPr>
            <w:tcW w:w="2410" w:type="dxa"/>
            <w:tcBorders>
              <w:top w:val="nil"/>
              <w:left w:val="single" w:sz="6" w:space="0" w:color="auto"/>
              <w:bottom w:val="single" w:sz="12" w:space="0" w:color="auto"/>
              <w:right w:val="nil"/>
            </w:tcBorders>
          </w:tcPr>
          <w:p w:rsidR="001C0FFA" w:rsidRPr="00D4027C" w14:paraId="1411832B" w14:textId="77777777">
            <w:pPr>
              <w:rPr>
                <w:rFonts w:ascii="Verdana" w:hAnsi="Verdana"/>
                <w:color w:val="000080"/>
                <w:sz w:val="20"/>
              </w:rPr>
            </w:pPr>
            <w:r w:rsidRPr="00D4027C">
              <w:rPr>
                <w:rFonts w:ascii="Verdana" w:hAnsi="Verdana"/>
                <w:sz w:val="16"/>
              </w:rPr>
              <w:t>Godkjent av:</w:t>
            </w:r>
          </w:p>
          <w:p w:rsidR="001C0FFA" w:rsidRPr="00D4027C" w14:paraId="1411832C" w14:textId="77777777">
            <w:pPr>
              <w:jc w:val="center"/>
              <w:rPr>
                <w:rFonts w:ascii="Verdana" w:hAnsi="Verdana"/>
                <w:sz w:val="18"/>
                <w:szCs w:val="18"/>
              </w:rPr>
            </w:pPr>
            <w:r w:rsidRPr="00D4027C">
              <w:rPr>
                <w:rFonts w:ascii="Verdana" w:hAnsi="Verdana"/>
                <w:sz w:val="18"/>
                <w:szCs w:val="18"/>
              </w:rPr>
              <w:fldChar w:fldCharType="begin" w:fldLock="1"/>
            </w:r>
            <w:r w:rsidRPr="00D4027C">
              <w:rPr>
                <w:rFonts w:ascii="Verdana" w:hAnsi="Verdana"/>
                <w:color w:val="000080"/>
                <w:sz w:val="18"/>
                <w:szCs w:val="18"/>
              </w:rPr>
              <w:instrText xml:space="preserve"> DOCPROPERTY EK_Signatur </w:instrText>
            </w:r>
            <w:r w:rsidRPr="00D4027C">
              <w:rPr>
                <w:rFonts w:ascii="Verdana" w:hAnsi="Verdana"/>
                <w:sz w:val="18"/>
                <w:szCs w:val="18"/>
              </w:rPr>
              <w:fldChar w:fldCharType="separate"/>
            </w:r>
            <w:r w:rsidRPr="00D4027C">
              <w:rPr>
                <w:rFonts w:ascii="Verdana" w:hAnsi="Verdana"/>
                <w:color w:val="000080"/>
                <w:sz w:val="18"/>
                <w:szCs w:val="18"/>
              </w:rPr>
              <w:t>Ikke styrt</w:t>
            </w:r>
            <w:r w:rsidRPr="00D4027C">
              <w:rPr>
                <w:rFonts w:ascii="Verdana" w:hAnsi="Verdana"/>
                <w:sz w:val="18"/>
                <w:szCs w:val="18"/>
              </w:rPr>
              <w:fldChar w:fldCharType="end"/>
            </w:r>
          </w:p>
        </w:tc>
        <w:tc>
          <w:tcPr>
            <w:tcW w:w="2126" w:type="dxa"/>
            <w:tcBorders>
              <w:top w:val="nil"/>
              <w:left w:val="single" w:sz="6" w:space="0" w:color="auto"/>
              <w:bottom w:val="single" w:sz="12" w:space="0" w:color="auto"/>
            </w:tcBorders>
          </w:tcPr>
          <w:p w:rsidR="001C0FFA" w:rsidRPr="00D4027C" w14:paraId="1411832D" w14:textId="77777777">
            <w:pPr>
              <w:rPr>
                <w:rFonts w:ascii="Verdana" w:hAnsi="Verdana"/>
                <w:sz w:val="20"/>
              </w:rPr>
            </w:pPr>
            <w:r w:rsidRPr="00D4027C">
              <w:rPr>
                <w:rFonts w:ascii="Verdana" w:hAnsi="Verdana"/>
                <w:sz w:val="16"/>
              </w:rPr>
              <w:t>Sidenr:</w:t>
            </w:r>
          </w:p>
          <w:p w:rsidR="001C0FFA" w:rsidRPr="00D4027C" w14:paraId="1411832E" w14:textId="77777777">
            <w:pPr>
              <w:jc w:val="center"/>
              <w:rPr>
                <w:rFonts w:ascii="Verdana" w:hAnsi="Verdana"/>
              </w:rPr>
            </w:pPr>
            <w:r w:rsidRPr="00D4027C">
              <w:rPr>
                <w:rFonts w:ascii="Verdana" w:hAnsi="Verdana"/>
                <w:sz w:val="18"/>
                <w:szCs w:val="18"/>
              </w:rPr>
              <w:fldChar w:fldCharType="begin"/>
            </w:r>
            <w:r w:rsidRPr="00D4027C">
              <w:rPr>
                <w:rFonts w:ascii="Verdana" w:hAnsi="Verdana"/>
                <w:sz w:val="18"/>
                <w:szCs w:val="18"/>
              </w:rPr>
              <w:instrText xml:space="preserve">PAGE </w:instrText>
            </w:r>
            <w:r w:rsidRPr="00D4027C">
              <w:rPr>
                <w:rFonts w:ascii="Verdana" w:hAnsi="Verdana"/>
                <w:sz w:val="18"/>
                <w:szCs w:val="18"/>
              </w:rPr>
              <w:fldChar w:fldCharType="separate"/>
            </w:r>
            <w:r w:rsidRPr="00D4027C">
              <w:rPr>
                <w:rFonts w:ascii="Verdana" w:hAnsi="Verdana"/>
                <w:sz w:val="18"/>
                <w:szCs w:val="18"/>
              </w:rPr>
              <w:t>1</w:t>
            </w:r>
            <w:r w:rsidRPr="00D4027C">
              <w:rPr>
                <w:rFonts w:ascii="Verdana" w:hAnsi="Verdana"/>
                <w:sz w:val="18"/>
                <w:szCs w:val="18"/>
              </w:rPr>
              <w:fldChar w:fldCharType="end"/>
            </w:r>
            <w:r w:rsidRPr="00D4027C">
              <w:rPr>
                <w:rFonts w:ascii="Verdana" w:hAnsi="Verdana"/>
                <w:sz w:val="18"/>
                <w:szCs w:val="18"/>
              </w:rPr>
              <w:t xml:space="preserve"> av </w:t>
            </w:r>
            <w:r w:rsidRPr="00D4027C">
              <w:rPr>
                <w:rFonts w:ascii="Verdana" w:hAnsi="Verdana"/>
                <w:sz w:val="18"/>
                <w:szCs w:val="18"/>
              </w:rPr>
              <w:fldChar w:fldCharType="begin"/>
            </w:r>
            <w:r w:rsidRPr="00D4027C">
              <w:rPr>
                <w:rFonts w:ascii="Verdana" w:hAnsi="Verdana"/>
                <w:sz w:val="18"/>
                <w:szCs w:val="18"/>
              </w:rPr>
              <w:instrText>NUMPAGES</w:instrText>
            </w:r>
            <w:r w:rsidRPr="00D4027C">
              <w:rPr>
                <w:rFonts w:ascii="Verdana" w:hAnsi="Verdana"/>
                <w:sz w:val="18"/>
                <w:szCs w:val="18"/>
              </w:rPr>
              <w:fldChar w:fldCharType="separate"/>
            </w:r>
            <w:r w:rsidRPr="00D4027C">
              <w:rPr>
                <w:rFonts w:ascii="Verdana" w:hAnsi="Verdana"/>
                <w:sz w:val="18"/>
                <w:szCs w:val="18"/>
              </w:rPr>
              <w:t>3</w:t>
            </w:r>
            <w:r w:rsidRPr="00D4027C">
              <w:rPr>
                <w:rFonts w:ascii="Verdana" w:hAnsi="Verdana"/>
                <w:sz w:val="18"/>
                <w:szCs w:val="18"/>
              </w:rPr>
              <w:fldChar w:fldCharType="end"/>
            </w:r>
          </w:p>
        </w:tc>
      </w:tr>
    </w:tbl>
    <w:p w:rsidR="001C0FFA" w14:paraId="14118330" w14:textId="77777777"/>
    <w:p w:rsidR="002B696B" w:rsidRPr="00D4027C" w:rsidP="002B696B" w14:paraId="5170554D" w14:textId="77777777">
      <w:pPr>
        <w:pStyle w:val="Heading3"/>
        <w:spacing w:after="120"/>
        <w:ind w:left="0"/>
        <w:jc w:val="both"/>
        <w:rPr>
          <w:rFonts w:ascii="Verdana" w:hAnsi="Verdana"/>
          <w:sz w:val="22"/>
          <w:szCs w:val="22"/>
        </w:rPr>
      </w:pPr>
      <w:r w:rsidRPr="00D4027C">
        <w:rPr>
          <w:rFonts w:ascii="Verdana" w:hAnsi="Verdana"/>
          <w:sz w:val="22"/>
          <w:szCs w:val="22"/>
        </w:rPr>
        <w:t xml:space="preserve">2.6.1 </w:t>
      </w:r>
      <w:r w:rsidRPr="00D4027C">
        <w:rPr>
          <w:rFonts w:ascii="Verdana" w:hAnsi="Verdana"/>
          <w:sz w:val="22"/>
          <w:szCs w:val="22"/>
        </w:rPr>
        <w:t>Kunnskapsforvaltning</w:t>
      </w:r>
    </w:p>
    <w:p w:rsidR="002B696B" w:rsidRPr="00D4027C" w:rsidP="002B696B" w14:paraId="5D854E53" w14:textId="77777777">
      <w:pPr>
        <w:spacing w:after="120"/>
        <w:jc w:val="both"/>
        <w:rPr>
          <w:rFonts w:ascii="Verdana" w:hAnsi="Verdana"/>
          <w:sz w:val="18"/>
          <w:szCs w:val="18"/>
        </w:rPr>
      </w:pPr>
      <w:r w:rsidRPr="00D4027C">
        <w:rPr>
          <w:rFonts w:ascii="Verdana" w:hAnsi="Verdana"/>
          <w:sz w:val="18"/>
          <w:szCs w:val="18"/>
        </w:rPr>
        <w:t>Trøndelag høyere yrkesfagskole (THYF) har etablert rutiner for å identifisere og vedlikeholde kompetanse</w:t>
      </w:r>
      <w:r>
        <w:rPr>
          <w:rStyle w:val="FootnoteReference"/>
          <w:rFonts w:ascii="Verdana" w:hAnsi="Verdana"/>
          <w:sz w:val="18"/>
          <w:szCs w:val="18"/>
        </w:rPr>
        <w:footnoteReference w:id="2"/>
      </w:r>
      <w:r w:rsidRPr="00D4027C">
        <w:rPr>
          <w:rFonts w:ascii="Verdana" w:hAnsi="Verdana"/>
          <w:sz w:val="18"/>
          <w:szCs w:val="18"/>
        </w:rPr>
        <w:t xml:space="preserve"> som er nødvendig for å opprettholde skolens aktiviteter og kontinuerlig forbedre disse. </w:t>
      </w:r>
    </w:p>
    <w:p w:rsidR="002B696B" w:rsidRPr="00D4027C" w:rsidP="002B696B" w14:paraId="5E1AC0CF" w14:textId="77777777">
      <w:pPr>
        <w:spacing w:after="120"/>
        <w:jc w:val="both"/>
        <w:rPr>
          <w:rFonts w:ascii="Verdana" w:hAnsi="Verdana"/>
          <w:sz w:val="18"/>
          <w:szCs w:val="18"/>
        </w:rPr>
      </w:pPr>
      <w:r w:rsidRPr="00D4027C">
        <w:rPr>
          <w:rFonts w:ascii="Verdana" w:hAnsi="Verdana"/>
          <w:sz w:val="18"/>
          <w:szCs w:val="18"/>
        </w:rPr>
        <w:t>Dette inkluderer også vurdering av risi</w:t>
      </w:r>
      <w:r w:rsidRPr="00D4027C">
        <w:rPr>
          <w:rFonts w:ascii="Verdana" w:hAnsi="Verdana"/>
          <w:sz w:val="18"/>
          <w:szCs w:val="18"/>
        </w:rPr>
        <w:t>ko knyttet til tap av kompetanse, samt rutiner for å sikre overføring av nødvendig kompetanse</w:t>
      </w:r>
      <w:r>
        <w:rPr>
          <w:rStyle w:val="FootnoteReference"/>
          <w:rFonts w:ascii="Verdana" w:hAnsi="Verdana"/>
          <w:sz w:val="18"/>
          <w:szCs w:val="18"/>
        </w:rPr>
        <w:footnoteReference w:id="3"/>
      </w:r>
      <w:r w:rsidRPr="00D4027C">
        <w:rPr>
          <w:rFonts w:ascii="Verdana" w:hAnsi="Verdana"/>
          <w:sz w:val="18"/>
          <w:szCs w:val="18"/>
        </w:rPr>
        <w:t xml:space="preserve">, slik at skolen er i stand til å utføre sine aktiviteter og levere nødvendig undervisning knyttet til skolens utdannings- og </w:t>
      </w:r>
      <w:r w:rsidRPr="00D4027C">
        <w:rPr>
          <w:rFonts w:ascii="Verdana" w:hAnsi="Verdana"/>
          <w:sz w:val="18"/>
          <w:szCs w:val="18"/>
        </w:rPr>
        <w:t>opplæringsprogram.</w:t>
      </w:r>
    </w:p>
    <w:p w:rsidR="002B696B" w:rsidRPr="00D4027C" w:rsidP="002B696B" w14:paraId="4363AC4D" w14:textId="77777777">
      <w:pPr>
        <w:spacing w:after="120"/>
        <w:jc w:val="both"/>
        <w:rPr>
          <w:rFonts w:ascii="Verdana" w:hAnsi="Verdana"/>
          <w:sz w:val="18"/>
          <w:szCs w:val="18"/>
        </w:rPr>
      </w:pPr>
      <w:r w:rsidRPr="00D4027C">
        <w:rPr>
          <w:rFonts w:ascii="Verdana" w:hAnsi="Verdana"/>
          <w:sz w:val="18"/>
          <w:szCs w:val="18"/>
        </w:rPr>
        <w:t>Etablerte rutiner ved THYF omfatter følgende:</w:t>
      </w:r>
    </w:p>
    <w:p w:rsidR="002B696B" w:rsidRPr="00D4027C" w:rsidP="002B696B" w14:paraId="61D5DD6A" w14:textId="77777777">
      <w:pPr>
        <w:pStyle w:val="ListParagraph"/>
        <w:numPr>
          <w:ilvl w:val="0"/>
          <w:numId w:val="1"/>
        </w:numPr>
        <w:jc w:val="both"/>
        <w:rPr>
          <w:rFonts w:ascii="Verdana" w:hAnsi="Verdana"/>
          <w:sz w:val="18"/>
          <w:szCs w:val="18"/>
        </w:rPr>
      </w:pPr>
      <w:r w:rsidRPr="00D4027C">
        <w:rPr>
          <w:rFonts w:ascii="Verdana" w:hAnsi="Verdana"/>
          <w:sz w:val="18"/>
          <w:szCs w:val="18"/>
        </w:rPr>
        <w:t>Kartlegging av organisasjonens kompetansebehov.</w:t>
      </w:r>
    </w:p>
    <w:p w:rsidR="002B696B" w:rsidRPr="00D4027C" w:rsidP="002B696B" w14:paraId="649C045F" w14:textId="77777777">
      <w:pPr>
        <w:pStyle w:val="ListParagraph"/>
        <w:numPr>
          <w:ilvl w:val="0"/>
          <w:numId w:val="1"/>
        </w:numPr>
        <w:jc w:val="both"/>
        <w:rPr>
          <w:rFonts w:ascii="Verdana" w:hAnsi="Verdana"/>
          <w:sz w:val="18"/>
          <w:szCs w:val="18"/>
        </w:rPr>
      </w:pPr>
      <w:r w:rsidRPr="00D4027C">
        <w:rPr>
          <w:rFonts w:ascii="Verdana" w:hAnsi="Verdana"/>
          <w:sz w:val="18"/>
          <w:szCs w:val="18"/>
        </w:rPr>
        <w:t>Organisasjonens kompetansebehov tas i betraktning ved nyansettelser.</w:t>
      </w:r>
    </w:p>
    <w:p w:rsidR="002B696B" w:rsidRPr="00D4027C" w:rsidP="002B696B" w14:paraId="50609AAF" w14:textId="77777777">
      <w:pPr>
        <w:pStyle w:val="ListParagraph"/>
        <w:numPr>
          <w:ilvl w:val="0"/>
          <w:numId w:val="1"/>
        </w:numPr>
        <w:jc w:val="both"/>
        <w:rPr>
          <w:rFonts w:ascii="Verdana" w:hAnsi="Verdana"/>
          <w:sz w:val="18"/>
          <w:szCs w:val="18"/>
        </w:rPr>
      </w:pPr>
      <w:r w:rsidRPr="00D4027C">
        <w:rPr>
          <w:rFonts w:ascii="Verdana" w:hAnsi="Verdana"/>
          <w:sz w:val="18"/>
          <w:szCs w:val="18"/>
        </w:rPr>
        <w:t>Opprettelse av personalmapper for ansatte ved THYF.</w:t>
      </w:r>
    </w:p>
    <w:p w:rsidR="002B696B" w:rsidRPr="00D4027C" w:rsidP="002B696B" w14:paraId="251B142D" w14:textId="77777777">
      <w:pPr>
        <w:spacing w:after="120"/>
        <w:ind w:left="708"/>
        <w:jc w:val="both"/>
        <w:rPr>
          <w:rFonts w:ascii="Verdana" w:hAnsi="Verdana"/>
          <w:sz w:val="18"/>
          <w:szCs w:val="18"/>
        </w:rPr>
      </w:pPr>
      <w:r w:rsidRPr="00D4027C">
        <w:rPr>
          <w:rFonts w:ascii="Verdana" w:hAnsi="Verdana"/>
          <w:sz w:val="18"/>
          <w:szCs w:val="18"/>
        </w:rPr>
        <w:t>Kvalifikasjonene til den enkelte ansattes kvalifikasjoner går frem av personalmappen til vedkommende ansatte.</w:t>
      </w:r>
    </w:p>
    <w:p w:rsidR="002B696B" w:rsidRPr="00D4027C" w:rsidP="002B696B" w14:paraId="1AE1CBB4" w14:textId="77777777">
      <w:pPr>
        <w:spacing w:after="120"/>
        <w:ind w:left="708"/>
        <w:jc w:val="both"/>
        <w:rPr>
          <w:rFonts w:ascii="Verdana" w:hAnsi="Verdana"/>
          <w:sz w:val="18"/>
          <w:szCs w:val="18"/>
        </w:rPr>
      </w:pPr>
      <w:r w:rsidRPr="00D4027C">
        <w:rPr>
          <w:rStyle w:val="normaltextrun"/>
          <w:rFonts w:ascii="Verdana" w:hAnsi="Verdana"/>
          <w:color w:val="000000"/>
          <w:sz w:val="18"/>
          <w:szCs w:val="18"/>
          <w:shd w:val="clear" w:color="auto" w:fill="FFFFFF"/>
        </w:rPr>
        <w:t>For de maritime utdanningene ved THYF er de ansattes utdannelse, gjennomførte kurs og opplæring ført inn i egen kompetansematrise.</w:t>
      </w:r>
    </w:p>
    <w:p w:rsidR="002B696B" w:rsidRPr="00D4027C" w:rsidP="002B696B" w14:paraId="63508B8F" w14:textId="77777777">
      <w:pPr>
        <w:pStyle w:val="ListParagraph"/>
        <w:numPr>
          <w:ilvl w:val="0"/>
          <w:numId w:val="1"/>
        </w:numPr>
        <w:jc w:val="both"/>
        <w:rPr>
          <w:rFonts w:ascii="Verdana" w:hAnsi="Verdana"/>
          <w:sz w:val="18"/>
          <w:szCs w:val="18"/>
        </w:rPr>
      </w:pPr>
      <w:r w:rsidRPr="00D4027C">
        <w:rPr>
          <w:rFonts w:ascii="Verdana" w:hAnsi="Verdana"/>
          <w:sz w:val="18"/>
          <w:szCs w:val="18"/>
        </w:rPr>
        <w:t>Ved nyansettels</w:t>
      </w:r>
      <w:r w:rsidRPr="00D4027C">
        <w:rPr>
          <w:rFonts w:ascii="Verdana" w:hAnsi="Verdana"/>
          <w:sz w:val="18"/>
          <w:szCs w:val="18"/>
        </w:rPr>
        <w:t>e i stillinger ved THYF og tilhørende studiesteder, forutsetter ett tilbud om fast ansettelse at vedkommende innehar nødvendig kompetanse for stillingen, og at vedkommende i motsatt fall gjennomfører nødvendig utdanning for å tilegne seg denne kompetansen.</w:t>
      </w:r>
    </w:p>
    <w:p w:rsidR="002B696B" w:rsidP="002B696B" w14:paraId="2406DE9E" w14:textId="490CAE10">
      <w:pPr>
        <w:spacing w:after="120"/>
        <w:ind w:left="708"/>
        <w:jc w:val="both"/>
        <w:rPr>
          <w:rFonts w:ascii="Verdana" w:hAnsi="Verdana"/>
          <w:sz w:val="18"/>
          <w:szCs w:val="18"/>
        </w:rPr>
      </w:pPr>
      <w:r w:rsidRPr="00D4027C">
        <w:rPr>
          <w:rFonts w:ascii="Verdana" w:hAnsi="Verdana"/>
          <w:sz w:val="18"/>
          <w:szCs w:val="18"/>
        </w:rPr>
        <w:t>For nyansatte som mangler noen av de angitte krav til kompetanse, forutsettes det at nødvendig utdannelse gjennomføres innen en angitt tidsfrist</w:t>
      </w:r>
      <w:r>
        <w:rPr>
          <w:rStyle w:val="FootnoteReference"/>
          <w:rFonts w:ascii="Verdana" w:hAnsi="Verdana"/>
          <w:sz w:val="18"/>
          <w:szCs w:val="18"/>
        </w:rPr>
        <w:footnoteReference w:id="4"/>
      </w:r>
      <w:r w:rsidRPr="00D4027C">
        <w:rPr>
          <w:rFonts w:ascii="Verdana" w:hAnsi="Verdana"/>
          <w:sz w:val="18"/>
          <w:szCs w:val="18"/>
        </w:rPr>
        <w:t>.</w:t>
      </w:r>
    </w:p>
    <w:p w:rsidR="00D4027C" w:rsidP="002B696B" w14:paraId="067E68C5" w14:textId="0F961AFE">
      <w:pPr>
        <w:spacing w:after="120"/>
        <w:ind w:left="708"/>
        <w:jc w:val="both"/>
        <w:rPr>
          <w:rFonts w:ascii="Verdana" w:hAnsi="Verdana"/>
          <w:sz w:val="18"/>
          <w:szCs w:val="18"/>
        </w:rPr>
      </w:pPr>
    </w:p>
    <w:p w:rsidR="00D4027C" w:rsidP="002B696B" w14:paraId="0C962E69" w14:textId="77777777">
      <w:pPr>
        <w:spacing w:after="120"/>
        <w:ind w:left="708"/>
        <w:jc w:val="both"/>
        <w:rPr>
          <w:rFonts w:ascii="Verdana" w:hAnsi="Verdana"/>
          <w:sz w:val="18"/>
          <w:szCs w:val="18"/>
        </w:rPr>
      </w:pPr>
    </w:p>
    <w:p w:rsidR="002B696B" w:rsidRPr="00D4027C" w:rsidP="002B696B" w14:paraId="36971BEE" w14:textId="78A290B3">
      <w:pPr>
        <w:pStyle w:val="Heading3"/>
        <w:spacing w:after="120"/>
        <w:ind w:left="0"/>
        <w:rPr>
          <w:rFonts w:ascii="Verdana" w:hAnsi="Verdana"/>
          <w:sz w:val="18"/>
          <w:szCs w:val="18"/>
        </w:rPr>
      </w:pPr>
      <w:r w:rsidRPr="00D4027C">
        <w:rPr>
          <w:rFonts w:ascii="Verdana" w:hAnsi="Verdana"/>
          <w:sz w:val="22"/>
          <w:szCs w:val="22"/>
        </w:rPr>
        <w:t>2.6.2 Ansattes ytelse</w:t>
      </w:r>
    </w:p>
    <w:p w:rsidR="002B696B" w:rsidRPr="00D4027C" w:rsidP="002B696B" w14:paraId="5E174CB4" w14:textId="77777777">
      <w:pPr>
        <w:spacing w:after="120"/>
        <w:jc w:val="both"/>
        <w:rPr>
          <w:rFonts w:ascii="Verdana" w:hAnsi="Verdana"/>
          <w:sz w:val="18"/>
          <w:szCs w:val="18"/>
        </w:rPr>
      </w:pPr>
      <w:r w:rsidRPr="00D4027C">
        <w:rPr>
          <w:rFonts w:ascii="Verdana" w:hAnsi="Verdana"/>
          <w:sz w:val="18"/>
          <w:szCs w:val="18"/>
        </w:rPr>
        <w:t>Det henvises til avsnitt 2.6.1 når det gjelder:</w:t>
      </w:r>
    </w:p>
    <w:p w:rsidR="002B696B" w:rsidRPr="00D4027C" w:rsidP="002B696B" w14:paraId="3EE68E07" w14:textId="77777777">
      <w:pPr>
        <w:pStyle w:val="ListParagraph"/>
        <w:numPr>
          <w:ilvl w:val="0"/>
          <w:numId w:val="1"/>
        </w:numPr>
        <w:jc w:val="both"/>
        <w:rPr>
          <w:rFonts w:ascii="Verdana" w:hAnsi="Verdana"/>
          <w:sz w:val="18"/>
          <w:szCs w:val="18"/>
        </w:rPr>
      </w:pPr>
      <w:r w:rsidRPr="00D4027C">
        <w:rPr>
          <w:rFonts w:ascii="Verdana" w:hAnsi="Verdana"/>
          <w:sz w:val="18"/>
          <w:szCs w:val="18"/>
        </w:rPr>
        <w:t>Identifikasjon av kompetansebehov.</w:t>
      </w:r>
    </w:p>
    <w:p w:rsidR="002B696B" w:rsidRPr="00D4027C" w:rsidP="002B696B" w14:paraId="2DE366F4" w14:textId="77777777">
      <w:pPr>
        <w:pStyle w:val="ListParagraph"/>
        <w:numPr>
          <w:ilvl w:val="0"/>
          <w:numId w:val="1"/>
        </w:numPr>
        <w:jc w:val="both"/>
        <w:rPr>
          <w:rFonts w:ascii="Verdana" w:hAnsi="Verdana"/>
          <w:sz w:val="18"/>
          <w:szCs w:val="18"/>
        </w:rPr>
      </w:pPr>
      <w:r w:rsidRPr="00D4027C">
        <w:rPr>
          <w:rFonts w:ascii="Verdana" w:hAnsi="Verdana"/>
          <w:sz w:val="18"/>
          <w:szCs w:val="18"/>
        </w:rPr>
        <w:t>F</w:t>
      </w:r>
      <w:r w:rsidRPr="00D4027C">
        <w:rPr>
          <w:rFonts w:ascii="Verdana" w:hAnsi="Verdana"/>
          <w:sz w:val="18"/>
          <w:szCs w:val="18"/>
        </w:rPr>
        <w:t>astslå eventuelle behov for videreutdanning eller opplæring.</w:t>
      </w:r>
    </w:p>
    <w:p w:rsidR="002B696B" w:rsidRPr="00D4027C" w:rsidP="002B696B" w14:paraId="07F17244" w14:textId="77777777">
      <w:pPr>
        <w:pStyle w:val="ListParagraph"/>
        <w:numPr>
          <w:ilvl w:val="0"/>
          <w:numId w:val="1"/>
        </w:numPr>
        <w:jc w:val="both"/>
        <w:rPr>
          <w:rFonts w:ascii="Verdana" w:hAnsi="Verdana"/>
          <w:sz w:val="18"/>
          <w:szCs w:val="18"/>
        </w:rPr>
      </w:pPr>
      <w:r w:rsidRPr="00D4027C">
        <w:rPr>
          <w:rFonts w:ascii="Verdana" w:hAnsi="Verdana"/>
          <w:sz w:val="18"/>
          <w:szCs w:val="18"/>
        </w:rPr>
        <w:t>Evaluering av effekten av tiltak med tanke på å oppnå samsvar i forhold til behov for kompetanse innenfor organisasjonen.</w:t>
      </w:r>
    </w:p>
    <w:p w:rsidR="00D4027C" w:rsidP="002B696B" w14:paraId="538584F7" w14:textId="77777777">
      <w:pPr>
        <w:spacing w:after="120"/>
        <w:jc w:val="both"/>
        <w:rPr>
          <w:rFonts w:ascii="Verdana" w:hAnsi="Verdana"/>
          <w:sz w:val="18"/>
          <w:szCs w:val="18"/>
        </w:rPr>
      </w:pPr>
    </w:p>
    <w:p w:rsidR="002B696B" w:rsidRPr="00D4027C" w:rsidP="002B696B" w14:paraId="54B94317" w14:textId="6506DE28">
      <w:pPr>
        <w:spacing w:after="120"/>
        <w:jc w:val="both"/>
        <w:rPr>
          <w:rFonts w:ascii="Verdana" w:hAnsi="Verdana"/>
          <w:sz w:val="18"/>
          <w:szCs w:val="18"/>
        </w:rPr>
      </w:pPr>
      <w:r w:rsidRPr="00D4027C">
        <w:rPr>
          <w:rFonts w:ascii="Verdana" w:hAnsi="Verdana"/>
          <w:sz w:val="18"/>
          <w:szCs w:val="18"/>
        </w:rPr>
        <w:t>Med tanke på utvikling av personalets kompetanse henvises det til kapitte</w:t>
      </w:r>
      <w:r w:rsidRPr="00D4027C">
        <w:rPr>
          <w:rFonts w:ascii="Verdana" w:hAnsi="Verdana"/>
          <w:sz w:val="18"/>
          <w:szCs w:val="18"/>
        </w:rPr>
        <w:t>l 2.6.3.</w:t>
      </w:r>
    </w:p>
    <w:p w:rsidR="002B696B" w:rsidP="002B696B" w14:paraId="624F9F85" w14:textId="787F2518">
      <w:pPr>
        <w:spacing w:after="120"/>
        <w:jc w:val="both"/>
        <w:rPr>
          <w:rFonts w:ascii="Verdana" w:hAnsi="Verdana"/>
          <w:sz w:val="18"/>
          <w:szCs w:val="18"/>
        </w:rPr>
      </w:pPr>
    </w:p>
    <w:p w:rsidR="002B696B" w:rsidRPr="00D4027C" w:rsidP="002B696B" w14:paraId="23A7AD2D" w14:textId="7923948D">
      <w:pPr>
        <w:pStyle w:val="Heading3"/>
        <w:spacing w:after="120"/>
        <w:ind w:left="0"/>
        <w:rPr>
          <w:rFonts w:ascii="Verdana" w:hAnsi="Verdana"/>
          <w:sz w:val="22"/>
          <w:szCs w:val="22"/>
        </w:rPr>
      </w:pPr>
      <w:r>
        <w:rPr>
          <w:rFonts w:ascii="Verdana" w:hAnsi="Verdana"/>
          <w:sz w:val="22"/>
          <w:szCs w:val="22"/>
        </w:rPr>
        <w:br w:type="page"/>
      </w:r>
      <w:r w:rsidRPr="00D4027C">
        <w:rPr>
          <w:rFonts w:ascii="Verdana" w:hAnsi="Verdana"/>
          <w:sz w:val="22"/>
          <w:szCs w:val="22"/>
        </w:rPr>
        <w:t>2.6.3 Medarbeiderutvikling</w:t>
      </w:r>
    </w:p>
    <w:p w:rsidR="002B696B" w:rsidRPr="00D4027C" w:rsidP="002B696B" w14:paraId="72AB547D" w14:textId="77777777">
      <w:pPr>
        <w:spacing w:after="120"/>
        <w:jc w:val="both"/>
        <w:rPr>
          <w:rFonts w:ascii="Verdana" w:hAnsi="Verdana"/>
          <w:sz w:val="18"/>
          <w:szCs w:val="18"/>
        </w:rPr>
      </w:pPr>
      <w:r w:rsidRPr="00D4027C">
        <w:rPr>
          <w:rFonts w:ascii="Verdana" w:hAnsi="Verdana"/>
          <w:sz w:val="18"/>
          <w:szCs w:val="18"/>
        </w:rPr>
        <w:t>THYF ønsker å sikre at skolens personale er klar over hvor viktig arbeidet deres og dermed hvordan de kan bidra til å nå skolens kvalitetsmål.</w:t>
      </w:r>
    </w:p>
    <w:p w:rsidR="002B696B" w:rsidRPr="00D4027C" w:rsidP="002B696B" w14:paraId="31D521A4" w14:textId="77777777">
      <w:pPr>
        <w:spacing w:after="120"/>
        <w:jc w:val="both"/>
        <w:rPr>
          <w:rFonts w:ascii="Verdana" w:hAnsi="Verdana"/>
          <w:sz w:val="18"/>
          <w:szCs w:val="18"/>
        </w:rPr>
      </w:pPr>
      <w:r w:rsidRPr="00D4027C">
        <w:rPr>
          <w:rFonts w:ascii="Verdana" w:hAnsi="Verdana"/>
          <w:sz w:val="18"/>
          <w:szCs w:val="18"/>
        </w:rPr>
        <w:t>Dette kommer frem i medarbeidersamtaler mellom nærmeste leder og den ansatte</w:t>
      </w:r>
      <w:r w:rsidRPr="00D4027C">
        <w:rPr>
          <w:rFonts w:ascii="Verdana" w:hAnsi="Verdana"/>
          <w:sz w:val="18"/>
          <w:szCs w:val="18"/>
        </w:rPr>
        <w:t>. Her tas blant annet den ansattes behov for opplæring og kompetanseheving opp og diskuteres mellom leder og den ansatte. Ved behov for økte kvalifikasjoner tilbyr ledelsen den ansatte å ta nødvendige kurs.</w:t>
      </w:r>
    </w:p>
    <w:p w:rsidR="002B696B" w:rsidRPr="00D4027C" w:rsidP="002B696B" w14:paraId="58786F83" w14:textId="77777777">
      <w:pPr>
        <w:spacing w:after="120"/>
        <w:jc w:val="both"/>
        <w:rPr>
          <w:rFonts w:ascii="Verdana" w:hAnsi="Verdana"/>
          <w:sz w:val="18"/>
          <w:szCs w:val="18"/>
        </w:rPr>
      </w:pPr>
      <w:r w:rsidRPr="00D4027C">
        <w:rPr>
          <w:rFonts w:ascii="Verdana" w:hAnsi="Verdana"/>
          <w:sz w:val="18"/>
          <w:szCs w:val="18"/>
        </w:rPr>
        <w:t>Personalet deltar sammen med ledelsen ved periodi</w:t>
      </w:r>
      <w:r w:rsidRPr="00D4027C">
        <w:rPr>
          <w:rFonts w:ascii="Verdana" w:hAnsi="Verdana"/>
          <w:sz w:val="18"/>
          <w:szCs w:val="18"/>
        </w:rPr>
        <w:t>ske gjennomganger. Periodiske gjennomganger oppsummerer status med tanke på måloppnåelse og ellers informasjon om kvalitetssystemets effektivitet ved avdelingene. Samlet sett gir de periodiske gjennomgangene også bidrag til en årlig gjennomgang som foretas</w:t>
      </w:r>
      <w:r w:rsidRPr="00D4027C">
        <w:rPr>
          <w:rFonts w:ascii="Verdana" w:hAnsi="Verdana"/>
          <w:sz w:val="18"/>
          <w:szCs w:val="18"/>
        </w:rPr>
        <w:t xml:space="preserve"> av ledelsen ved THYF, jfr. kapittel 2.1.7.</w:t>
      </w:r>
    </w:p>
    <w:p w:rsidR="002B696B" w:rsidRPr="00D4027C" w:rsidP="002B696B" w14:paraId="1F5AD3C0" w14:textId="77777777">
      <w:pPr>
        <w:spacing w:after="120"/>
        <w:jc w:val="both"/>
        <w:rPr>
          <w:rFonts w:ascii="Verdana" w:hAnsi="Verdana"/>
          <w:sz w:val="18"/>
          <w:szCs w:val="18"/>
        </w:rPr>
      </w:pPr>
    </w:p>
    <w:p w:rsidR="002B696B" w:rsidRPr="00D4027C" w:rsidP="002B696B" w14:paraId="7A7A3A73" w14:textId="77777777">
      <w:pPr>
        <w:pStyle w:val="Heading3"/>
        <w:spacing w:after="120"/>
        <w:ind w:left="0"/>
        <w:rPr>
          <w:rFonts w:ascii="Verdana" w:hAnsi="Verdana"/>
          <w:sz w:val="22"/>
          <w:szCs w:val="22"/>
        </w:rPr>
      </w:pPr>
      <w:r w:rsidRPr="00D4027C">
        <w:rPr>
          <w:rFonts w:ascii="Verdana" w:hAnsi="Verdana"/>
          <w:sz w:val="22"/>
          <w:szCs w:val="22"/>
        </w:rPr>
        <w:t>2.6.4 Bruk av eksternt innleid personale</w:t>
      </w:r>
    </w:p>
    <w:p w:rsidR="002B696B" w:rsidRPr="00D4027C" w:rsidP="002B696B" w14:paraId="3E21357B" w14:textId="77777777">
      <w:pPr>
        <w:spacing w:after="120"/>
        <w:jc w:val="both"/>
        <w:rPr>
          <w:rFonts w:ascii="Verdana" w:hAnsi="Verdana"/>
          <w:sz w:val="18"/>
          <w:szCs w:val="18"/>
        </w:rPr>
      </w:pPr>
      <w:r w:rsidRPr="00D4027C">
        <w:rPr>
          <w:rFonts w:ascii="Verdana" w:hAnsi="Verdana"/>
          <w:sz w:val="18"/>
          <w:szCs w:val="18"/>
        </w:rPr>
        <w:t xml:space="preserve">De samme krav som gjelder for personalet ved THYF skal også gjelde for innleid fagpersonell. </w:t>
      </w:r>
    </w:p>
    <w:p w:rsidR="002B696B" w:rsidRPr="00D4027C" w:rsidP="002B696B" w14:paraId="1B0D7226" w14:textId="77777777">
      <w:pPr>
        <w:spacing w:after="120"/>
        <w:jc w:val="both"/>
        <w:rPr>
          <w:rFonts w:ascii="Verdana" w:hAnsi="Verdana"/>
          <w:sz w:val="18"/>
          <w:szCs w:val="18"/>
        </w:rPr>
      </w:pPr>
      <w:r w:rsidRPr="00D4027C">
        <w:rPr>
          <w:rFonts w:ascii="Verdana" w:hAnsi="Verdana"/>
          <w:sz w:val="18"/>
          <w:szCs w:val="18"/>
        </w:rPr>
        <w:t>Innleie av fagpersonell bestilles av den som er bemyndiget til dette. Ved av</w:t>
      </w:r>
      <w:r w:rsidRPr="00D4027C">
        <w:rPr>
          <w:rFonts w:ascii="Verdana" w:hAnsi="Verdana"/>
          <w:sz w:val="18"/>
          <w:szCs w:val="18"/>
        </w:rPr>
        <w:t xml:space="preserve">delingene er dette avdelingsleder, eller annen person bemyndiget av avdelingsleder. </w:t>
      </w:r>
    </w:p>
    <w:p w:rsidR="002B696B" w:rsidRPr="00D4027C" w:rsidP="002B696B" w14:paraId="6DE0D3B3" w14:textId="77777777">
      <w:pPr>
        <w:spacing w:after="120"/>
        <w:jc w:val="both"/>
        <w:rPr>
          <w:rFonts w:ascii="Verdana" w:hAnsi="Verdana"/>
          <w:sz w:val="18"/>
          <w:szCs w:val="18"/>
        </w:rPr>
      </w:pPr>
      <w:r w:rsidRPr="00D4027C">
        <w:rPr>
          <w:rFonts w:ascii="Verdana" w:hAnsi="Verdana"/>
          <w:sz w:val="18"/>
          <w:szCs w:val="18"/>
        </w:rPr>
        <w:t>Bestiller er ansvarlig for å kontrollere CV og annen dokumentasjon opp mot stillingens kravspesifikasjoner. Avdelingsleder skriver avtale med den som leverer tjenesten, og</w:t>
      </w:r>
      <w:r w:rsidRPr="00D4027C">
        <w:rPr>
          <w:rFonts w:ascii="Verdana" w:hAnsi="Verdana"/>
          <w:sz w:val="18"/>
          <w:szCs w:val="18"/>
        </w:rPr>
        <w:t xml:space="preserve"> krever politiattest for undervisning i skole. Rektor godkjenner avtalen. </w:t>
      </w:r>
    </w:p>
    <w:p w:rsidR="002B696B" w:rsidRPr="00D4027C" w:rsidP="002B696B" w14:paraId="65266732" w14:textId="77777777">
      <w:pPr>
        <w:spacing w:after="120"/>
        <w:jc w:val="both"/>
        <w:rPr>
          <w:rFonts w:ascii="Verdana" w:hAnsi="Verdana"/>
          <w:sz w:val="18"/>
          <w:szCs w:val="18"/>
        </w:rPr>
      </w:pPr>
      <w:r w:rsidRPr="00D4027C">
        <w:rPr>
          <w:rFonts w:ascii="Verdana" w:hAnsi="Verdana"/>
          <w:sz w:val="18"/>
          <w:szCs w:val="18"/>
        </w:rPr>
        <w:t>Fagpersonell kontrolleres årlig av avdelingsleder opp mot stillingens krav til utdanning.</w:t>
      </w:r>
    </w:p>
    <w:p w:rsidR="002B696B" w:rsidRPr="00D4027C" w:rsidP="002B696B" w14:paraId="0D51DC08" w14:textId="77777777">
      <w:pPr>
        <w:spacing w:after="120"/>
        <w:jc w:val="both"/>
        <w:rPr>
          <w:rFonts w:ascii="Verdana" w:hAnsi="Verdana"/>
          <w:sz w:val="18"/>
          <w:szCs w:val="18"/>
        </w:rPr>
      </w:pPr>
    </w:p>
    <w:p w:rsidR="002B696B" w:rsidRPr="00D4027C" w:rsidP="002B696B" w14:paraId="1872E3D8" w14:textId="77777777">
      <w:pPr>
        <w:pStyle w:val="Heading3"/>
        <w:spacing w:after="120"/>
        <w:ind w:left="0"/>
        <w:rPr>
          <w:rFonts w:ascii="Verdana" w:hAnsi="Verdana"/>
          <w:sz w:val="22"/>
          <w:szCs w:val="22"/>
        </w:rPr>
      </w:pPr>
      <w:r w:rsidRPr="00D4027C">
        <w:rPr>
          <w:rFonts w:ascii="Verdana" w:hAnsi="Verdana"/>
          <w:sz w:val="22"/>
          <w:szCs w:val="22"/>
        </w:rPr>
        <w:t>2.6.5 Ikke-konform undervisning</w:t>
      </w:r>
    </w:p>
    <w:p w:rsidR="002B696B" w:rsidRPr="00D4027C" w:rsidP="002B696B" w14:paraId="0A9B8D25" w14:textId="77777777">
      <w:pPr>
        <w:spacing w:after="120"/>
        <w:jc w:val="both"/>
        <w:rPr>
          <w:rFonts w:ascii="Verdana" w:hAnsi="Verdana"/>
          <w:sz w:val="18"/>
          <w:szCs w:val="18"/>
        </w:rPr>
      </w:pPr>
      <w:r w:rsidRPr="00D4027C">
        <w:rPr>
          <w:rFonts w:ascii="Verdana" w:hAnsi="Verdana"/>
          <w:sz w:val="18"/>
          <w:szCs w:val="18"/>
        </w:rPr>
        <w:t xml:space="preserve">Skolen har etablert </w:t>
      </w:r>
      <w:r w:rsidRPr="00D4027C">
        <w:rPr>
          <w:rFonts w:ascii="Verdana" w:hAnsi="Verdana"/>
          <w:sz w:val="18"/>
          <w:szCs w:val="18"/>
        </w:rPr>
        <w:t>rutiner</w:t>
      </w:r>
      <w:r w:rsidRPr="00D4027C">
        <w:rPr>
          <w:rFonts w:ascii="Verdana" w:hAnsi="Verdana"/>
          <w:sz w:val="18"/>
          <w:szCs w:val="18"/>
        </w:rPr>
        <w:t xml:space="preserve"> for hvordan man skal forholde seg til ikke-konform undervisning eller </w:t>
      </w:r>
      <w:r w:rsidRPr="00D4027C">
        <w:rPr>
          <w:rFonts w:ascii="Verdana" w:hAnsi="Verdana"/>
          <w:sz w:val="18"/>
          <w:szCs w:val="18"/>
        </w:rPr>
        <w:t>forhold</w:t>
      </w:r>
      <w:r w:rsidRPr="00D4027C">
        <w:rPr>
          <w:rFonts w:ascii="Verdana" w:hAnsi="Verdana"/>
          <w:sz w:val="18"/>
          <w:szCs w:val="18"/>
        </w:rPr>
        <w:t xml:space="preserve"> som påvirker kvaliteten på opplæringen negativt.</w:t>
      </w:r>
    </w:p>
    <w:p w:rsidR="001C0FFA" w:rsidRPr="00D4027C" w:rsidP="002B696B" w14:paraId="14118331" w14:textId="77777777">
      <w:pPr>
        <w:spacing w:after="120"/>
        <w:rPr>
          <w:rFonts w:ascii="Verdana" w:hAnsi="Verdana"/>
          <w:sz w:val="18"/>
          <w:szCs w:val="18"/>
        </w:rPr>
      </w:pPr>
    </w:p>
    <w:p w:rsidR="001C0FFA" w:rsidRPr="00D4027C" w:rsidP="002B696B" w14:paraId="14118332" w14:textId="77777777">
      <w:pPr>
        <w:spacing w:after="120"/>
        <w:rPr>
          <w:rFonts w:ascii="Verdana" w:hAnsi="Verdana"/>
          <w:sz w:val="18"/>
          <w:szCs w:val="18"/>
        </w:rPr>
      </w:pPr>
    </w:p>
    <w:p w:rsidR="001C0FFA" w:rsidRPr="00D4027C" w:rsidP="002B696B" w14:paraId="14118333" w14:textId="77777777">
      <w:pPr>
        <w:spacing w:after="120"/>
        <w:rPr>
          <w:rFonts w:ascii="Verdana" w:hAnsi="Verdana"/>
          <w:sz w:val="18"/>
          <w:szCs w:val="18"/>
        </w:rPr>
      </w:pPr>
    </w:p>
    <w:p w:rsidR="001C0FFA" w:rsidRPr="00D4027C" w:rsidP="002B696B" w14:paraId="14118334" w14:textId="77777777">
      <w:pPr>
        <w:spacing w:after="120"/>
        <w:rPr>
          <w:rFonts w:ascii="Verdana" w:hAnsi="Verdana"/>
          <w:sz w:val="18"/>
          <w:szCs w:val="18"/>
        </w:rPr>
      </w:pPr>
    </w:p>
    <w:p w:rsidR="001C0FFA" w:rsidRPr="00D4027C" w:rsidP="002B696B" w14:paraId="14118335" w14:textId="6BF9D735">
      <w:pPr>
        <w:spacing w:after="120"/>
        <w:rPr>
          <w:rFonts w:ascii="Verdana" w:hAnsi="Verdana"/>
          <w:b/>
          <w:bCs/>
          <w:color w:val="808080"/>
          <w:sz w:val="18"/>
          <w:szCs w:val="18"/>
        </w:rPr>
      </w:pPr>
      <w:r w:rsidRPr="00D4027C">
        <w:rPr>
          <w:rFonts w:ascii="Verdana" w:hAnsi="Verdana"/>
          <w:b/>
          <w:bCs/>
          <w:sz w:val="18"/>
          <w:szCs w:val="18"/>
        </w:rPr>
        <w:br w:type="page"/>
      </w:r>
      <w:r w:rsidRPr="00D4027C">
        <w:rPr>
          <w:rFonts w:ascii="Verdana" w:hAnsi="Verdana"/>
          <w:b/>
          <w:bCs/>
          <w:sz w:val="22"/>
          <w:szCs w:val="22"/>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pPr>
              <w:numPr>
                <w:ilvl w:val="0"/>
                <w:numId w:val="0"/>
              </w:numPr>
              <w:rPr>
                <w:b w:val="0"/>
                <w:color w:val="0000FF"/>
                <w:u w:val="single"/>
              </w:rPr>
            </w:pPr>
            <w:r>
              <w:rPr>
                <w:b w:val="0"/>
                <w:color w:val="0000FF"/>
                <w:u w:val="single"/>
              </w:rPr>
              <w:t xml:space="preserve"> </w:t>
            </w:r>
          </w:p>
        </w:tc>
      </w:tr>
    </w:tbl>
    <w:p w:rsidR="002B696B" w:rsidRPr="00D4027C" w14:paraId="7C5A8444" w14:textId="77777777">
      <w:pPr>
        <w:rPr>
          <w:rFonts w:ascii="Verdana" w:hAnsi="Verdana"/>
          <w:sz w:val="18"/>
          <w:szCs w:val="18"/>
        </w:rPr>
      </w:pPr>
      <w:bookmarkEnd w:id="1"/>
    </w:p>
    <w:p w:rsidR="001C0FFA" w:rsidRPr="00D4027C" w:rsidP="002B696B" w14:paraId="14118339" w14:textId="1D55B702">
      <w:pPr>
        <w:spacing w:after="120"/>
        <w:rPr>
          <w:rFonts w:ascii="Verdana" w:hAnsi="Verdana"/>
          <w:b/>
          <w:bCs/>
          <w:sz w:val="22"/>
          <w:szCs w:val="22"/>
        </w:rPr>
      </w:pPr>
      <w:r w:rsidRPr="00D4027C">
        <w:rPr>
          <w:rFonts w:ascii="Verdana" w:hAnsi="Verdana"/>
          <w:b/>
          <w:bCs/>
          <w:sz w:val="22"/>
          <w:szCs w:val="22"/>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14:paraId="1411833B"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nil"/>
              <w:left w:val="nil"/>
              <w:bottom w:val="nil"/>
              <w:right w:val="nil"/>
            </w:tcBorders>
          </w:tcPr>
          <w:p w:rsidR="00DF72A8" w:rsidRPr="00D4027C" w14:paraId="1411833A" w14:textId="77777777">
            <w:pPr>
              <w:rPr>
                <w:rFonts w:ascii="Verdana" w:hAnsi="Verdana"/>
                <w:color w:val="0000FF"/>
                <w:sz w:val="18"/>
                <w:szCs w:val="18"/>
                <w:u w:val="single"/>
              </w:rPr>
            </w:pPr>
            <w:r w:rsidRPr="00D4027C">
              <w:rPr>
                <w:rFonts w:ascii="Verdana" w:hAnsi="Verdana"/>
                <w:color w:val="0000FF"/>
                <w:sz w:val="18"/>
                <w:szCs w:val="18"/>
                <w:u w:val="single"/>
              </w:rPr>
              <w:t>2.6 Staff competency and training</w:t>
            </w:r>
          </w:p>
        </w:tc>
      </w:tr>
    </w:tbl>
    <w:p w:rsidR="001C0FFA" w:rsidRPr="00D4027C" w14:paraId="1411833C" w14:textId="77777777">
      <w:pPr>
        <w:rPr>
          <w:rFonts w:ascii="Verdana" w:hAnsi="Verdana"/>
          <w:sz w:val="18"/>
          <w:szCs w:val="18"/>
        </w:rPr>
      </w:pPr>
    </w:p>
    <w:p w:rsidR="001C0FFA" w:rsidRPr="00D4027C" w14:paraId="1411833D" w14:textId="77777777">
      <w:pPr>
        <w:rPr>
          <w:rFonts w:ascii="Verdana" w:hAnsi="Verdana"/>
          <w:sz w:val="18"/>
          <w:szCs w:val="18"/>
        </w:rPr>
      </w:pPr>
    </w:p>
    <w:sectPr>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41183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41183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14118349" w14:textId="75369EC7">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645" w14:paraId="1411834A" w14:textId="77777777">
      <w:r>
        <w:separator/>
      </w:r>
    </w:p>
  </w:footnote>
  <w:footnote w:type="continuationSeparator" w:id="1">
    <w:p w:rsidR="00AE1645" w14:paraId="1411834C" w14:textId="77777777">
      <w:r>
        <w:continuationSeparator/>
      </w:r>
    </w:p>
  </w:footnote>
  <w:footnote w:id="2">
    <w:p w:rsidR="002B696B" w:rsidRPr="00D4027C" w:rsidP="002B696B" w14:paraId="0C827659" w14:textId="77777777">
      <w:pPr>
        <w:pStyle w:val="FootnoteText"/>
        <w:ind w:left="142" w:hanging="142"/>
        <w:jc w:val="both"/>
        <w:rPr>
          <w:sz w:val="16"/>
          <w:szCs w:val="16"/>
        </w:rPr>
      </w:pPr>
      <w:r w:rsidRPr="00D4027C">
        <w:rPr>
          <w:rStyle w:val="FootnoteReference"/>
          <w:sz w:val="16"/>
          <w:szCs w:val="16"/>
        </w:rPr>
        <w:footnoteRef/>
      </w:r>
      <w:r w:rsidRPr="00D4027C">
        <w:rPr>
          <w:sz w:val="16"/>
          <w:szCs w:val="16"/>
        </w:rPr>
        <w:t xml:space="preserve"> Kompetanse beskrives som summen av ferdigheter, opplæring, utdanning og erfaring, jfr. NS-EN ISO 9000:2015, avsnitt 2.2.5.3.</w:t>
      </w:r>
    </w:p>
    <w:p w:rsidR="002B696B" w:rsidRPr="00D4027C" w:rsidP="002B696B" w14:paraId="0402E6C3" w14:textId="77777777">
      <w:pPr>
        <w:pStyle w:val="FootnoteText"/>
        <w:ind w:left="142" w:hanging="142"/>
        <w:jc w:val="both"/>
        <w:rPr>
          <w:sz w:val="16"/>
          <w:szCs w:val="16"/>
        </w:rPr>
      </w:pPr>
    </w:p>
  </w:footnote>
  <w:footnote w:id="3">
    <w:p w:rsidR="002B696B" w:rsidRPr="00D4027C" w:rsidP="002B696B" w14:paraId="7E5B83AE" w14:textId="77777777">
      <w:pPr>
        <w:pStyle w:val="FootnoteText"/>
        <w:ind w:left="142" w:hanging="142"/>
        <w:jc w:val="both"/>
        <w:rPr>
          <w:sz w:val="16"/>
          <w:szCs w:val="16"/>
        </w:rPr>
      </w:pPr>
      <w:r w:rsidRPr="00D4027C">
        <w:rPr>
          <w:rStyle w:val="FootnoteReference"/>
          <w:sz w:val="16"/>
          <w:szCs w:val="16"/>
        </w:rPr>
        <w:footnoteRef/>
      </w:r>
      <w:r w:rsidRPr="00D4027C">
        <w:rPr>
          <w:sz w:val="16"/>
          <w:szCs w:val="16"/>
        </w:rPr>
        <w:t xml:space="preserve"> Nødvendig kompetanse defineres her som krav til kompetanse formulert ved utlysing av s</w:t>
      </w:r>
      <w:r w:rsidRPr="00D4027C">
        <w:rPr>
          <w:sz w:val="16"/>
          <w:szCs w:val="16"/>
        </w:rPr>
        <w:t>tilling, og kan omfatte både formell og uformell kompetanse. Summen av de ansattes kompetanse definerer organisatorisk kompetanse.</w:t>
      </w:r>
    </w:p>
    <w:p w:rsidR="002B696B" w:rsidRPr="00D4027C" w:rsidP="002B696B" w14:paraId="17D796EF" w14:textId="77777777">
      <w:pPr>
        <w:pStyle w:val="FootnoteText"/>
        <w:ind w:left="142"/>
        <w:jc w:val="both"/>
        <w:rPr>
          <w:sz w:val="16"/>
          <w:szCs w:val="16"/>
        </w:rPr>
      </w:pPr>
    </w:p>
    <w:p w:rsidR="002B696B" w:rsidRPr="00D4027C" w:rsidP="002B696B" w14:paraId="44C617E1" w14:textId="77777777">
      <w:pPr>
        <w:pStyle w:val="FootnoteText"/>
        <w:ind w:left="142"/>
        <w:jc w:val="both"/>
        <w:rPr>
          <w:sz w:val="16"/>
          <w:szCs w:val="16"/>
        </w:rPr>
      </w:pPr>
      <w:r w:rsidRPr="00D4027C">
        <w:rPr>
          <w:sz w:val="16"/>
          <w:szCs w:val="16"/>
        </w:rPr>
        <w:t xml:space="preserve">Organisatorisk kompetanse kan utvikles, sikres og vedlikeholdes gjennom opplæring, erfaring, undervisning, </w:t>
      </w:r>
      <w:r w:rsidRPr="00D4027C">
        <w:rPr>
          <w:sz w:val="16"/>
          <w:szCs w:val="16"/>
        </w:rPr>
        <w:t>prosessforbedringer, industristandarder, akademisk utdanning, konferanser og andre kilder innenfor industri og næringsvirksomhet, jfr. note i DNVGL-ST-0029.</w:t>
      </w:r>
    </w:p>
    <w:p w:rsidR="002B696B" w:rsidRPr="00D4027C" w:rsidP="002B696B" w14:paraId="7E8EF065" w14:textId="77777777">
      <w:pPr>
        <w:pStyle w:val="FootnoteText"/>
        <w:ind w:left="142" w:hanging="142"/>
        <w:jc w:val="both"/>
        <w:rPr>
          <w:sz w:val="16"/>
          <w:szCs w:val="16"/>
        </w:rPr>
      </w:pPr>
    </w:p>
  </w:footnote>
  <w:footnote w:id="4">
    <w:p w:rsidR="002B696B" w:rsidP="002B696B" w14:paraId="4CA954D7" w14:textId="77777777">
      <w:pPr>
        <w:pStyle w:val="FootnoteText"/>
        <w:ind w:left="142" w:hanging="142"/>
        <w:jc w:val="both"/>
      </w:pPr>
      <w:r w:rsidRPr="00D4027C">
        <w:rPr>
          <w:rStyle w:val="FootnoteReference"/>
          <w:sz w:val="16"/>
          <w:szCs w:val="16"/>
        </w:rPr>
        <w:footnoteRef/>
      </w:r>
      <w:r w:rsidRPr="00D4027C">
        <w:rPr>
          <w:sz w:val="16"/>
          <w:szCs w:val="16"/>
        </w:rPr>
        <w:t xml:space="preserve"> Tidsfrist for gjennomføring av nødvendig utdannelse settes normalt til ett år fra ansettelsesdat</w:t>
      </w:r>
      <w:r w:rsidRPr="00D4027C">
        <w:rPr>
          <w:sz w:val="16"/>
          <w:szCs w:val="16"/>
        </w:rPr>
        <w:t>o, men fristen kan forlenges ut fra type og lengde av utdannelse.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41183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14118341"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1411833F" w14:textId="77777777">
          <w:pPr>
            <w:spacing w:before="80" w:after="80"/>
            <w:rPr>
              <w:b/>
              <w:lang w:val="de-DE"/>
            </w:rPr>
          </w:pPr>
          <w:r>
            <w:rPr>
              <w:b/>
              <w:color w:val="000080"/>
            </w:rPr>
            <w:fldChar w:fldCharType="begin" w:fldLock="1"/>
          </w:r>
          <w:r>
            <w:rPr>
              <w:b/>
              <w:color w:val="000080"/>
              <w:lang w:val="de-DE"/>
            </w:rPr>
            <w:instrText xml:space="preserve">DOCPROPERTY </w:instrText>
          </w:r>
          <w:r>
            <w:rPr>
              <w:b/>
              <w:color w:val="000080"/>
              <w:lang w:val="de-DE"/>
            </w:rPr>
            <w:instrText>EK_doktittel</w:instrText>
          </w:r>
          <w:r>
            <w:rPr>
              <w:b/>
              <w:color w:val="000080"/>
            </w:rPr>
            <w:fldChar w:fldCharType="separate"/>
          </w:r>
          <w:r>
            <w:rPr>
              <w:b/>
              <w:color w:val="000080"/>
              <w:lang w:val="de-DE"/>
            </w:rPr>
            <w:t>Kapittel 2.6 Personalets kompetanse og opplæring</w:t>
          </w:r>
          <w:r>
            <w:rPr>
              <w:b/>
              <w:color w:val="000080"/>
            </w:rPr>
            <w:fldChar w:fldCharType="end"/>
          </w:r>
        </w:p>
      </w:tc>
      <w:tc>
        <w:tcPr>
          <w:tcW w:w="1968" w:type="dxa"/>
          <w:gridSpan w:val="2"/>
          <w:tcBorders>
            <w:bottom w:val="nil"/>
          </w:tcBorders>
        </w:tcPr>
        <w:p w:rsidR="001C0FFA" w14:paraId="14118340"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1.2.8</w:t>
          </w:r>
          <w:r>
            <w:rPr>
              <w:sz w:val="20"/>
            </w:rPr>
            <w:fldChar w:fldCharType="end"/>
          </w:r>
        </w:p>
      </w:tc>
    </w:tr>
    <w:tr w14:paraId="14118344"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14118342" w14:textId="77777777">
          <w:pPr>
            <w:spacing w:before="80"/>
            <w:rPr>
              <w:sz w:val="20"/>
            </w:rPr>
          </w:pPr>
        </w:p>
      </w:tc>
      <w:tc>
        <w:tcPr>
          <w:tcW w:w="1962" w:type="dxa"/>
          <w:tcBorders>
            <w:left w:val="nil"/>
            <w:bottom w:val="nil"/>
            <w:right w:val="nil"/>
          </w:tcBorders>
        </w:tcPr>
        <w:p w:rsidR="001C0FFA" w14:paraId="14118343"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14:paraId="14118345"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141183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445C73"/>
    <w:multiLevelType w:val="hybridMultilevel"/>
    <w:tmpl w:val="6200FC78"/>
    <w:lvl w:ilvl="0">
      <w:start w:val="2"/>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F3BF2"/>
    <w:rsid w:val="001A500E"/>
    <w:rsid w:val="001C0FFA"/>
    <w:rsid w:val="00280477"/>
    <w:rsid w:val="002B696B"/>
    <w:rsid w:val="003D4093"/>
    <w:rsid w:val="00415440"/>
    <w:rsid w:val="004F400D"/>
    <w:rsid w:val="005037FB"/>
    <w:rsid w:val="00593ADB"/>
    <w:rsid w:val="005F7187"/>
    <w:rsid w:val="00666BB5"/>
    <w:rsid w:val="00AE1645"/>
    <w:rsid w:val="00B84574"/>
    <w:rsid w:val="00BF75FB"/>
    <w:rsid w:val="00C519DE"/>
    <w:rsid w:val="00CD5A4D"/>
    <w:rsid w:val="00D4027C"/>
    <w:rsid w:val="00DF72A8"/>
    <w:rsid w:val="00E34F49"/>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UB"/>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1411831F"/>
  <w15:docId w15:val="{F83957FB-5675-4DEE-BA22-72E816FF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2B696B"/>
    <w:pPr>
      <w:spacing w:after="120" w:line="259" w:lineRule="auto"/>
      <w:ind w:left="720"/>
      <w:contextualSpacing/>
    </w:pPr>
    <w:rPr>
      <w:rFonts w:eastAsia="Calibri" w:cs="Arial"/>
      <w:szCs w:val="24"/>
      <w:lang w:eastAsia="en-US"/>
    </w:rPr>
  </w:style>
  <w:style w:type="character" w:customStyle="1" w:styleId="normaltextrun">
    <w:name w:val="normaltextrun"/>
    <w:basedOn w:val="DefaultParagraphFont"/>
    <w:rsid w:val="002B696B"/>
  </w:style>
  <w:style w:type="paragraph" w:styleId="FootnoteText">
    <w:name w:val="footnote text"/>
    <w:basedOn w:val="Normal"/>
    <w:link w:val="FotnotetekstTegn"/>
    <w:uiPriority w:val="99"/>
    <w:unhideWhenUsed/>
    <w:rsid w:val="002B696B"/>
    <w:pPr>
      <w:spacing w:line="259" w:lineRule="auto"/>
    </w:pPr>
    <w:rPr>
      <w:rFonts w:eastAsia="Calibri" w:cs="Arial"/>
      <w:sz w:val="20"/>
      <w:lang w:eastAsia="en-US"/>
    </w:rPr>
  </w:style>
  <w:style w:type="character" w:customStyle="1" w:styleId="FotnotetekstTegn">
    <w:name w:val="Fotnotetekst Tegn"/>
    <w:basedOn w:val="DefaultParagraphFont"/>
    <w:link w:val="FootnoteText"/>
    <w:uiPriority w:val="99"/>
    <w:rsid w:val="002B696B"/>
    <w:rPr>
      <w:rFonts w:eastAsia="Calibri" w:cs="Arial"/>
      <w:lang w:eastAsia="en-US"/>
    </w:rPr>
  </w:style>
  <w:style w:type="character" w:styleId="FootnoteReference">
    <w:name w:val="footnote reference"/>
    <w:uiPriority w:val="99"/>
    <w:unhideWhenUsed/>
    <w:rsid w:val="002B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15</TotalTime>
  <Pages>3</Pages>
  <Words>608</Words>
  <Characters>3227</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vt:lpstr>
      <vt:lpstr>	</vt:lpstr>
    </vt:vector>
  </TitlesOfParts>
  <Company>Datakvalitet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Kapittel 2.6 Personalets kompetanse og opplæring</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4</cp:revision>
  <dcterms:created xsi:type="dcterms:W3CDTF">2020-01-20T07:07:00Z</dcterms:created>
  <dcterms:modified xsi:type="dcterms:W3CDTF">2022-10-13T17:10:00Z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Kapittel 2.6 Personalets kompetanse og opplæring</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13.10.2022</vt:lpwstr>
  </property>
  <property fmtid="{D5CDD505-2E9C-101B-9397-08002B2CF9AE}" pid="7" name="EK_RefNr">
    <vt:lpwstr>1.2.8</vt:lpwstr>
  </property>
  <property fmtid="{D5CDD505-2E9C-101B-9397-08002B2CF9AE}" pid="8" name="EK_Signatur">
    <vt:lpwstr>Ikke styrt</vt:lpwstr>
  </property>
  <property fmtid="{D5CDD505-2E9C-101B-9397-08002B2CF9AE}" pid="9" name="EK_SkrevetAv">
    <vt:lpwstr>HANMI</vt:lpwstr>
  </property>
  <property fmtid="{D5CDD505-2E9C-101B-9397-08002B2CF9AE}" pid="10" name="EK_Utgave">
    <vt:lpwstr>0.01</vt:lpwstr>
  </property>
  <property fmtid="{D5CDD505-2E9C-101B-9397-08002B2CF9AE}" pid="11" name="EK_Watermark">
    <vt:lpwstr>Vannmerke</vt:lpwstr>
  </property>
  <property fmtid="{D5CDD505-2E9C-101B-9397-08002B2CF9AE}" pid="12" name="XR00069">
    <vt:lpwstr>2.6</vt:lpwstr>
  </property>
  <property fmtid="{D5CDD505-2E9C-101B-9397-08002B2CF9AE}" pid="13" name="XRF00069">
    <vt:lpwstr>Staff competency and training</vt:lpwstr>
  </property>
  <property fmtid="{D5CDD505-2E9C-101B-9397-08002B2CF9AE}" pid="14" name="XRL00069">
    <vt:lpwstr>2.6 Staff competency and training</vt:lpwstr>
  </property>
  <property fmtid="{D5CDD505-2E9C-101B-9397-08002B2CF9AE}" pid="15" name="XRT00069">
    <vt:lpwstr>Staff competency and training</vt:lpwstr>
  </property>
</Properties>
</file>