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745AAFC5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392454" w:rsidP="00E2754F" w14:paraId="745AAFC3" w14:textId="45DFD7C1">
            <w:pPr>
              <w:spacing w:before="120" w:after="120"/>
              <w:rPr>
                <w:rFonts w:ascii="Verdana" w:hAnsi="Verdana"/>
                <w:b/>
                <w:sz w:val="28"/>
              </w:rPr>
            </w:pPr>
            <w:r w:rsidRPr="00392454">
              <w:rPr>
                <w:rFonts w:ascii="Verdana" w:hAnsi="Verdana"/>
                <w:b/>
                <w:sz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38.25pt">
                  <v:imagedata r:id="rId6" o:title="Logo THYF"/>
                </v:shape>
              </w:pict>
            </w:r>
            <w:r>
              <w:rPr>
                <w:rFonts w:ascii="Verdana" w:hAnsi="Verdana"/>
                <w:b/>
                <w:sz w:val="28"/>
              </w:rPr>
              <w:pict>
                <v:shape id="_x0000_i1026" type="#_x0000_t75" style="width:136.5pt;height:38.25pt">
                  <v:imagedata r:id="rId6" o:title="Logo THY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392454" w14:paraId="745AAFC4" w14:textId="77777777">
            <w:pPr>
              <w:spacing w:before="180" w:after="120"/>
              <w:rPr>
                <w:rFonts w:ascii="Verdana" w:hAnsi="Verdana"/>
              </w:rPr>
            </w:pPr>
            <w:r w:rsidRPr="00392454">
              <w:rPr>
                <w:rFonts w:ascii="Verdana" w:hAnsi="Verdana"/>
                <w:sz w:val="16"/>
              </w:rPr>
              <w:t xml:space="preserve">Dok.id.: </w:t>
            </w:r>
            <w:r w:rsidRPr="00392454">
              <w:rPr>
                <w:rFonts w:ascii="Verdana" w:hAnsi="Verdana"/>
                <w:sz w:val="16"/>
              </w:rPr>
              <w:fldChar w:fldCharType="begin" w:fldLock="1"/>
            </w:r>
            <w:r w:rsidRPr="00392454">
              <w:rPr>
                <w:rFonts w:ascii="Verdana" w:hAnsi="Verdana"/>
                <w:color w:val="000080"/>
              </w:rPr>
              <w:instrText xml:space="preserve"> DOCPROPERTY EK_RefNr </w:instrText>
            </w:r>
            <w:r w:rsidRPr="00392454">
              <w:rPr>
                <w:rFonts w:ascii="Verdana" w:hAnsi="Verdana"/>
                <w:sz w:val="16"/>
              </w:rPr>
              <w:fldChar w:fldCharType="separate"/>
            </w:r>
            <w:r w:rsidRPr="00392454">
              <w:rPr>
                <w:rFonts w:ascii="Verdana" w:hAnsi="Verdana"/>
                <w:color w:val="000080"/>
              </w:rPr>
              <w:t>1.2.3</w:t>
            </w:r>
            <w:r w:rsidRPr="00392454">
              <w:rPr>
                <w:rFonts w:ascii="Verdana" w:hAnsi="Verdana"/>
                <w:sz w:val="16"/>
              </w:rPr>
              <w:fldChar w:fldCharType="end"/>
            </w:r>
          </w:p>
        </w:tc>
      </w:tr>
      <w:tr w14:paraId="745AAFC8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392454" w14:paraId="745AAFC6" w14:textId="74705C01">
            <w:pPr>
              <w:spacing w:before="80" w:after="80"/>
              <w:rPr>
                <w:rFonts w:ascii="Verdana" w:hAnsi="Verdana"/>
                <w:b/>
              </w:rPr>
            </w:pPr>
            <w:r w:rsidRPr="00392454">
              <w:rPr>
                <w:rFonts w:ascii="Verdana" w:hAnsi="Verdana"/>
                <w:b/>
              </w:rPr>
              <w:fldChar w:fldCharType="begin" w:fldLock="1"/>
            </w:r>
            <w:r w:rsidRPr="00392454">
              <w:rPr>
                <w:rFonts w:ascii="Verdana" w:hAnsi="Verdana"/>
                <w:b/>
                <w:color w:val="000080"/>
              </w:rPr>
              <w:instrText xml:space="preserve"> DOCPROPERTY EK_DokTittel </w:instrText>
            </w:r>
            <w:r w:rsidRPr="00392454">
              <w:rPr>
                <w:rFonts w:ascii="Verdana" w:hAnsi="Verdana"/>
                <w:b/>
              </w:rPr>
              <w:fldChar w:fldCharType="separate"/>
            </w:r>
            <w:r w:rsidRPr="00392454">
              <w:rPr>
                <w:rFonts w:ascii="Verdana" w:hAnsi="Verdana"/>
                <w:b/>
                <w:color w:val="000080"/>
              </w:rPr>
              <w:t>Kapittel 2.1 Ledelsens ansvar</w:t>
            </w:r>
            <w:r w:rsidRPr="00392454">
              <w:rPr>
                <w:rFonts w:ascii="Verdana" w:hAnsi="Verdana"/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:rsidRPr="00392454" w14:paraId="745AAFC7" w14:textId="77777777">
            <w:pPr>
              <w:spacing w:before="80" w:after="80"/>
              <w:rPr>
                <w:rFonts w:ascii="Verdana" w:hAnsi="Verdana"/>
              </w:rPr>
            </w:pPr>
            <w:r w:rsidRPr="00392454">
              <w:rPr>
                <w:rFonts w:ascii="Verdana" w:hAnsi="Verdana"/>
              </w:rPr>
              <w:fldChar w:fldCharType="begin" w:fldLock="1"/>
            </w:r>
            <w:r w:rsidRPr="00392454">
              <w:rPr>
                <w:rFonts w:ascii="Verdana" w:hAnsi="Verdana"/>
                <w:color w:val="000080"/>
              </w:rPr>
              <w:instrText xml:space="preserve"> DOCPROPERTY EK_DokType </w:instrText>
            </w:r>
            <w:r w:rsidRPr="00392454">
              <w:rPr>
                <w:rFonts w:ascii="Verdana" w:hAnsi="Verdana"/>
              </w:rPr>
              <w:fldChar w:fldCharType="separate"/>
            </w:r>
            <w:r w:rsidRPr="00392454">
              <w:rPr>
                <w:rFonts w:ascii="Verdana" w:hAnsi="Verdana"/>
                <w:color w:val="000080"/>
              </w:rPr>
              <w:t>MTP</w:t>
            </w:r>
            <w:r w:rsidRPr="00392454">
              <w:rPr>
                <w:rFonts w:ascii="Verdana" w:hAnsi="Verdana"/>
              </w:rPr>
              <w:fldChar w:fldCharType="end"/>
            </w:r>
          </w:p>
        </w:tc>
      </w:tr>
      <w:tr w14:paraId="745AAFD3" w14:textId="77777777" w:rsidTr="00E2754F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338"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:rsidRPr="00392454" w14:paraId="745AAFC9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392454">
              <w:rPr>
                <w:rFonts w:ascii="Verdana" w:hAnsi="Verdana"/>
                <w:sz w:val="16"/>
              </w:rPr>
              <w:t>Utgave:</w:t>
            </w:r>
          </w:p>
          <w:p w:rsidR="001C0FFA" w:rsidRPr="00392454" w14:paraId="745AAFCA" w14:textId="77777777">
            <w:pPr>
              <w:jc w:val="center"/>
              <w:rPr>
                <w:rFonts w:ascii="Verdana" w:hAnsi="Verdana"/>
                <w:sz w:val="20"/>
              </w:rPr>
            </w:pPr>
            <w:r w:rsidRPr="00392454">
              <w:rPr>
                <w:rFonts w:ascii="Verdana" w:hAnsi="Verdana"/>
                <w:sz w:val="20"/>
              </w:rPr>
              <w:fldChar w:fldCharType="begin" w:fldLock="1"/>
            </w:r>
            <w:r w:rsidRPr="00392454">
              <w:rPr>
                <w:rFonts w:ascii="Verdana" w:hAnsi="Verdana"/>
                <w:color w:val="000080"/>
                <w:sz w:val="20"/>
              </w:rPr>
              <w:instrText xml:space="preserve"> DOCPROPERTY EK_Utgave </w:instrText>
            </w:r>
            <w:r w:rsidRPr="00392454">
              <w:rPr>
                <w:rFonts w:ascii="Verdana" w:hAnsi="Verdana"/>
                <w:sz w:val="20"/>
              </w:rPr>
              <w:fldChar w:fldCharType="separate"/>
            </w:r>
            <w:r w:rsidRPr="00392454">
              <w:rPr>
                <w:rFonts w:ascii="Verdana" w:hAnsi="Verdana"/>
                <w:color w:val="000080"/>
                <w:sz w:val="20"/>
              </w:rPr>
              <w:t>0.18</w:t>
            </w:r>
            <w:r w:rsidRPr="0039245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392454" w14:paraId="745AAFCB" w14:textId="77777777">
            <w:pPr>
              <w:rPr>
                <w:rFonts w:ascii="Verdana" w:hAnsi="Verdana"/>
                <w:sz w:val="20"/>
              </w:rPr>
            </w:pPr>
            <w:r w:rsidRPr="00392454">
              <w:rPr>
                <w:rFonts w:ascii="Verdana" w:hAnsi="Verdana"/>
                <w:sz w:val="16"/>
              </w:rPr>
              <w:t>Skrevet av:</w:t>
            </w:r>
          </w:p>
          <w:p w:rsidR="001C0FFA" w:rsidRPr="00392454" w14:paraId="745AAFCC" w14:textId="77777777">
            <w:pPr>
              <w:jc w:val="center"/>
              <w:rPr>
                <w:rFonts w:ascii="Verdana" w:hAnsi="Verdana"/>
                <w:sz w:val="20"/>
              </w:rPr>
            </w:pPr>
            <w:r w:rsidRPr="00E2754F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E2754F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EK_SkrevetAv </w:instrTex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2754F">
              <w:rPr>
                <w:rFonts w:ascii="Verdana" w:hAnsi="Verdana"/>
                <w:color w:val="000080"/>
                <w:sz w:val="18"/>
                <w:szCs w:val="18"/>
              </w:rPr>
              <w:t>HANMI</w: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392454" w14:paraId="745AAFCD" w14:textId="77777777">
            <w:pPr>
              <w:rPr>
                <w:rFonts w:ascii="Verdana" w:hAnsi="Verdana"/>
                <w:sz w:val="16"/>
              </w:rPr>
            </w:pPr>
            <w:r w:rsidRPr="00392454">
              <w:rPr>
                <w:rFonts w:ascii="Verdana" w:hAnsi="Verdana"/>
                <w:sz w:val="16"/>
              </w:rPr>
              <w:t>Gjelder fra:</w:t>
            </w:r>
          </w:p>
          <w:p w:rsidR="001C0FFA" w:rsidRPr="00392454" w14:paraId="745AAFCE" w14:textId="77777777">
            <w:pPr>
              <w:jc w:val="center"/>
              <w:rPr>
                <w:rFonts w:ascii="Verdana" w:hAnsi="Verdana"/>
                <w:sz w:val="20"/>
              </w:rPr>
            </w:pPr>
            <w:r w:rsidRPr="00E2754F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E2754F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EK_GjelderFra </w:instrTex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2754F">
              <w:rPr>
                <w:rFonts w:ascii="Verdana" w:hAnsi="Verdana"/>
                <w:color w:val="000080"/>
                <w:sz w:val="18"/>
                <w:szCs w:val="18"/>
              </w:rPr>
              <w:t>24.03.2023</w: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392454" w14:paraId="745AAFCF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392454">
              <w:rPr>
                <w:rFonts w:ascii="Verdana" w:hAnsi="Verdana"/>
                <w:sz w:val="16"/>
              </w:rPr>
              <w:t>Godkjent av:</w:t>
            </w:r>
          </w:p>
          <w:p w:rsidR="001C0FFA" w:rsidRPr="00E2754F" w14:paraId="745AAFD0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2754F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E2754F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EK_Signatur </w:instrTex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2754F">
              <w:rPr>
                <w:rFonts w:ascii="Verdana" w:hAnsi="Verdana"/>
                <w:color w:val="000080"/>
                <w:sz w:val="18"/>
                <w:szCs w:val="18"/>
              </w:rPr>
              <w:t>Ikke styrt</w: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:rsidRPr="00392454" w14:paraId="745AAFD1" w14:textId="77777777">
            <w:pPr>
              <w:rPr>
                <w:rFonts w:ascii="Verdana" w:hAnsi="Verdana"/>
                <w:sz w:val="20"/>
              </w:rPr>
            </w:pPr>
            <w:r w:rsidRPr="00392454">
              <w:rPr>
                <w:rFonts w:ascii="Verdana" w:hAnsi="Verdana"/>
                <w:sz w:val="16"/>
              </w:rPr>
              <w:t>Sidenr</w:t>
            </w:r>
            <w:r w:rsidRPr="00392454">
              <w:rPr>
                <w:rFonts w:ascii="Verdana" w:hAnsi="Verdana"/>
                <w:sz w:val="16"/>
              </w:rPr>
              <w:t>:</w:t>
            </w:r>
          </w:p>
          <w:p w:rsidR="001C0FFA" w:rsidRPr="00392454" w14:paraId="745AAFD2" w14:textId="4B33F5DE">
            <w:pPr>
              <w:jc w:val="center"/>
              <w:rPr>
                <w:rFonts w:ascii="Verdana" w:hAnsi="Verdana"/>
              </w:rPr>
            </w:pPr>
            <w:r w:rsidRPr="00E2754F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E2754F">
              <w:rPr>
                <w:rFonts w:ascii="Verdana" w:hAnsi="Verdana"/>
                <w:sz w:val="18"/>
                <w:szCs w:val="18"/>
              </w:rPr>
              <w:instrText xml:space="preserve">PAGE </w:instrTex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2754F">
              <w:rPr>
                <w:rFonts w:ascii="Verdana" w:hAnsi="Verdana"/>
                <w:sz w:val="18"/>
                <w:szCs w:val="18"/>
              </w:rPr>
              <w:t>1</w: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2754F">
              <w:rPr>
                <w:rFonts w:ascii="Verdana" w:hAnsi="Verdana"/>
                <w:sz w:val="18"/>
                <w:szCs w:val="18"/>
              </w:rPr>
              <w:t xml:space="preserve"> av </w: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E2754F">
              <w:rPr>
                <w:rFonts w:ascii="Verdana" w:hAnsi="Verdana"/>
                <w:sz w:val="18"/>
                <w:szCs w:val="18"/>
              </w:rPr>
              <w:instrText>NUMPAGES</w:instrTex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2754F">
              <w:rPr>
                <w:rFonts w:ascii="Verdana" w:hAnsi="Verdana"/>
                <w:sz w:val="18"/>
                <w:szCs w:val="18"/>
              </w:rPr>
              <w:t>8</w:t>
            </w:r>
            <w:r w:rsidRPr="00E2754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1C0FFA" w14:paraId="745AAFD4" w14:textId="77777777"/>
    <w:p w:rsidR="00307338" w:rsidRPr="00392454" w:rsidP="00904D6B" w14:paraId="7CDB56EF" w14:textId="59CAD486">
      <w:pPr>
        <w:pStyle w:val="Heading2"/>
      </w:pPr>
      <w:r w:rsidRPr="00392454">
        <w:t>2.1.1 Ledelsens engasjement</w:t>
      </w:r>
    </w:p>
    <w:p w:rsidR="00307338" w:rsidRPr="00392454" w:rsidP="00307338" w14:paraId="05A30776" w14:textId="77777777">
      <w:pPr>
        <w:spacing w:after="12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 xml:space="preserve">Trøndelag høyere yrkesfagskole forplikter seg til kontinuerlig å forbedre kvalitetssystemet og effektiviteten av skolens kvalitetsledelsessystem. </w:t>
      </w:r>
    </w:p>
    <w:p w:rsidR="00307338" w:rsidRPr="00392454" w:rsidP="00307338" w14:paraId="5A61FE6D" w14:textId="77777777">
      <w:pPr>
        <w:spacing w:after="12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 xml:space="preserve">Gjennom god implementering og oppfølging skal ledelsen forsikre seg om at </w:t>
      </w:r>
      <w:r w:rsidRPr="00392454">
        <w:rPr>
          <w:rFonts w:ascii="Verdana" w:hAnsi="Verdana"/>
          <w:sz w:val="18"/>
          <w:szCs w:val="18"/>
        </w:rPr>
        <w:t>kvalitetspolitikk, mål og ledelsessystem er kommunisert, forstått, gjennomført og vedlikeholdt på alle nivåer i organisasjonen.</w:t>
      </w:r>
    </w:p>
    <w:p w:rsidR="00307338" w:rsidRPr="00000E88" w:rsidP="00307338" w14:paraId="1C502E0B" w14:textId="21D1338C">
      <w:pPr>
        <w:spacing w:after="12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Ledelsen skal innta en aktiv og ledende rolle ved utvikling og bruk av kvalitetssystemet, og gjennom dette bidra til en sikker o</w:t>
      </w:r>
      <w:r w:rsidRPr="00392454">
        <w:rPr>
          <w:rFonts w:ascii="Verdana" w:hAnsi="Verdana"/>
          <w:sz w:val="18"/>
          <w:szCs w:val="18"/>
        </w:rPr>
        <w:t>g effektiv opplæring av skolens studenter.</w:t>
      </w:r>
    </w:p>
    <w:p w:rsidR="00D459E6" w:rsidRPr="00392454" w:rsidP="00307338" w14:paraId="32677C0E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</w:p>
    <w:p w:rsidR="00307338" w:rsidRPr="00392454" w:rsidP="00904D6B" w14:paraId="20BA2943" w14:textId="64E005EC">
      <w:pPr>
        <w:pStyle w:val="Heading2"/>
      </w:pPr>
      <w:r w:rsidRPr="00392454">
        <w:t>2.1.2 Kvalitetspolitikk ved THYF</w:t>
      </w:r>
    </w:p>
    <w:p w:rsidR="00307338" w:rsidRPr="00392454" w:rsidP="00307338" w14:paraId="20CDA777" w14:textId="77777777">
      <w:pPr>
        <w:spacing w:after="12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Trøndelag høyere yrkesfagskole (THYF) har som visjon å skape:</w:t>
      </w:r>
    </w:p>
    <w:p w:rsidR="00307338" w:rsidRPr="00392454" w:rsidP="00307338" w14:paraId="0C9E3595" w14:textId="77777777">
      <w:pPr>
        <w:spacing w:after="120"/>
        <w:ind w:left="708"/>
        <w:jc w:val="both"/>
        <w:rPr>
          <w:rFonts w:ascii="Verdana" w:eastAsia="Calibri" w:hAnsi="Verdana" w:cs="Arial"/>
          <w:i/>
          <w:sz w:val="18"/>
          <w:szCs w:val="18"/>
        </w:rPr>
      </w:pPr>
      <w:r w:rsidRPr="00392454">
        <w:rPr>
          <w:rFonts w:ascii="Verdana" w:eastAsia="Calibri" w:hAnsi="Verdana" w:cs="Arial"/>
          <w:i/>
          <w:sz w:val="18"/>
          <w:szCs w:val="18"/>
        </w:rPr>
        <w:t>Framtidsrettet kompetanse i samspill med arbeidslivet</w:t>
      </w:r>
    </w:p>
    <w:p w:rsidR="00392454" w:rsidRPr="00392454" w:rsidP="00307338" w14:paraId="69B2316F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</w:p>
    <w:p w:rsidR="00D459E6" w:rsidRPr="00392454" w:rsidP="00307338" w14:paraId="7309C4C7" w14:textId="27B519F9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392454">
        <w:rPr>
          <w:rFonts w:ascii="Verdana" w:eastAsia="Calibri" w:hAnsi="Verdana" w:cs="Arial"/>
          <w:sz w:val="18"/>
          <w:szCs w:val="18"/>
        </w:rPr>
        <w:t xml:space="preserve">Styret ved THYF er det organet som vedtar visjon og overordnet kvalitetspolitikk for skolen.  </w:t>
      </w:r>
    </w:p>
    <w:p w:rsidR="00307338" w:rsidRPr="00392454" w:rsidP="00307338" w14:paraId="6C231E40" w14:textId="4912D888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392454">
        <w:rPr>
          <w:rFonts w:ascii="Verdana" w:eastAsia="Calibri" w:hAnsi="Verdana" w:cs="Arial"/>
          <w:sz w:val="18"/>
          <w:szCs w:val="18"/>
        </w:rPr>
        <w:t>Visjon og politikk (policy) ligger publisert på nettstedet til THYF. Formulert politikk omfatter hovedpunktene</w:t>
      </w:r>
    </w:p>
    <w:p w:rsidR="00307338" w:rsidRPr="00392454" w:rsidP="00307338" w14:paraId="1A4C7B35" w14:textId="77777777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Lover og forskrifter</w:t>
      </w:r>
    </w:p>
    <w:p w:rsidR="00307338" w:rsidRPr="00392454" w:rsidP="00307338" w14:paraId="031F60C5" w14:textId="77777777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Utdanninger</w:t>
      </w:r>
    </w:p>
    <w:p w:rsidR="00307338" w:rsidRPr="00392454" w:rsidP="00307338" w14:paraId="65D0281A" w14:textId="77777777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Studenter</w:t>
      </w:r>
    </w:p>
    <w:p w:rsidR="00307338" w:rsidRPr="00392454" w:rsidP="00307338" w14:paraId="7D9F52AC" w14:textId="77777777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Styring</w:t>
      </w:r>
      <w:r w:rsidRPr="00392454">
        <w:rPr>
          <w:rFonts w:ascii="Verdana" w:hAnsi="Verdana"/>
          <w:sz w:val="18"/>
          <w:szCs w:val="18"/>
        </w:rPr>
        <w:t>ssystem</w:t>
      </w:r>
    </w:p>
    <w:p w:rsidR="00307338" w:rsidRPr="00392454" w:rsidP="00307338" w14:paraId="64339089" w14:textId="77777777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Forbedring</w:t>
      </w:r>
    </w:p>
    <w:p w:rsidR="00307338" w:rsidRPr="00392454" w:rsidP="00307338" w14:paraId="293CC1F2" w14:textId="77777777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Ansatte</w:t>
      </w:r>
    </w:p>
    <w:p w:rsidR="00307338" w:rsidRPr="00392454" w:rsidP="00307338" w14:paraId="1AE92327" w14:textId="77777777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Arbeidslivet</w:t>
      </w:r>
    </w:p>
    <w:p w:rsidR="00307338" w:rsidRPr="00392454" w:rsidP="00307338" w14:paraId="11AEDFDA" w14:textId="406C8F7C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Informasjon eksternt</w:t>
      </w:r>
    </w:p>
    <w:p w:rsidR="00D459E6" w:rsidRPr="00392454" w:rsidP="00307338" w14:paraId="152596C2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</w:p>
    <w:p w:rsidR="00307338" w:rsidRPr="00392454" w:rsidP="00904D6B" w14:paraId="0D7AF3B6" w14:textId="77777777">
      <w:pPr>
        <w:pStyle w:val="Heading2"/>
      </w:pPr>
      <w:r w:rsidRPr="00392454">
        <w:t>2.1.3 Kvalitetsmål for THYF</w:t>
      </w:r>
    </w:p>
    <w:p w:rsidR="00307338" w:rsidRPr="00392454" w:rsidP="00307338" w14:paraId="40E43235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392454">
        <w:rPr>
          <w:rFonts w:ascii="Verdana" w:eastAsia="Calibri" w:hAnsi="Verdana" w:cs="Arial"/>
          <w:sz w:val="18"/>
          <w:szCs w:val="18"/>
        </w:rPr>
        <w:t>Med bakgrunn i visjon vedtatt av THYFs styre er følgende hovedmål formulert:</w:t>
      </w:r>
    </w:p>
    <w:p w:rsidR="00307338" w:rsidRPr="00392454" w:rsidP="00307338" w14:paraId="0D66F1B9" w14:textId="77777777">
      <w:pPr>
        <w:spacing w:after="120"/>
        <w:jc w:val="both"/>
        <w:rPr>
          <w:rFonts w:ascii="Verdana" w:hAnsi="Verdana"/>
          <w:i/>
          <w:color w:val="000000"/>
          <w:sz w:val="18"/>
          <w:szCs w:val="18"/>
        </w:rPr>
      </w:pPr>
      <w:r w:rsidRPr="00392454">
        <w:rPr>
          <w:rFonts w:ascii="Verdana" w:hAnsi="Verdana"/>
          <w:i/>
          <w:color w:val="000000"/>
          <w:sz w:val="18"/>
          <w:szCs w:val="18"/>
        </w:rPr>
        <w:t>THYF skal tilby studenter relevant kompetanse med høy kvalitet som gjør dem attraktive på arbeidsmarkedet og som fyller arbeidslivets nåværende og framtidige kompetansebehov.</w:t>
      </w:r>
    </w:p>
    <w:p w:rsidR="00307338" w:rsidRPr="00392454" w:rsidP="00307338" w14:paraId="41541136" w14:textId="77777777">
      <w:pPr>
        <w:spacing w:after="120"/>
        <w:jc w:val="both"/>
        <w:rPr>
          <w:rFonts w:ascii="Verdana" w:hAnsi="Verdana"/>
          <w:sz w:val="18"/>
          <w:szCs w:val="18"/>
        </w:rPr>
      </w:pPr>
    </w:p>
    <w:p w:rsidR="00307338" w:rsidRPr="00392454" w:rsidP="00307338" w14:paraId="512517A3" w14:textId="355FFEC7">
      <w:pPr>
        <w:spacing w:after="12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 xml:space="preserve">Videre er </w:t>
      </w:r>
      <w:r w:rsidR="00C922D3">
        <w:rPr>
          <w:rFonts w:ascii="Verdana" w:hAnsi="Verdana"/>
          <w:sz w:val="18"/>
          <w:szCs w:val="18"/>
        </w:rPr>
        <w:t xml:space="preserve">følgende </w:t>
      </w:r>
      <w:r w:rsidRPr="00392454">
        <w:rPr>
          <w:rFonts w:ascii="Verdana" w:hAnsi="Verdana"/>
          <w:sz w:val="18"/>
          <w:szCs w:val="18"/>
        </w:rPr>
        <w:t>delmål blitt formulert:</w:t>
      </w:r>
    </w:p>
    <w:p w:rsidR="00307338" w:rsidRPr="00392454" w:rsidP="00307338" w14:paraId="1708ABF2" w14:textId="77777777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Minimum 90% av uteksaminerte studente</w:t>
      </w:r>
      <w:r w:rsidRPr="00392454">
        <w:rPr>
          <w:rFonts w:ascii="Verdana" w:hAnsi="Verdana"/>
          <w:sz w:val="18"/>
          <w:szCs w:val="18"/>
        </w:rPr>
        <w:t xml:space="preserve">r skal være i relevant jobb 6 måneder etter avsluttet studium. </w:t>
      </w:r>
    </w:p>
    <w:p w:rsidR="00307338" w:rsidRPr="00392454" w:rsidP="00307338" w14:paraId="42B933B0" w14:textId="211B5304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Gjennomstrømning skal minst være minst 90 % for heltid og 70 % for deltid</w:t>
      </w:r>
      <w:r w:rsidRPr="00392454" w:rsidR="00392454">
        <w:rPr>
          <w:rFonts w:ascii="Verdana" w:hAnsi="Verdana"/>
          <w:sz w:val="18"/>
          <w:szCs w:val="18"/>
        </w:rPr>
        <w:t>.</w:t>
      </w:r>
    </w:p>
    <w:p w:rsidR="00307338" w:rsidRPr="00392454" w:rsidP="00307338" w14:paraId="5600B96F" w14:textId="55D082E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Innsøking – ingen negativ trend i antall søknader</w:t>
      </w:r>
      <w:r w:rsidRPr="00392454" w:rsidR="00392454">
        <w:rPr>
          <w:rFonts w:ascii="Verdana" w:hAnsi="Verdana"/>
          <w:sz w:val="18"/>
          <w:szCs w:val="18"/>
        </w:rPr>
        <w:t>.</w:t>
      </w:r>
    </w:p>
    <w:p w:rsidR="00307338" w:rsidRPr="00392454" w:rsidP="00307338" w14:paraId="74D6B0A3" w14:textId="0CAFF82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Ingen klager fra studenter. Karaktersnitt minimum C</w:t>
      </w:r>
      <w:r w:rsidRPr="00392454" w:rsidR="00392454">
        <w:rPr>
          <w:rFonts w:ascii="Verdana" w:hAnsi="Verdana"/>
          <w:sz w:val="18"/>
          <w:szCs w:val="18"/>
        </w:rPr>
        <w:t>.</w:t>
      </w:r>
    </w:p>
    <w:p w:rsidR="00307338" w:rsidRPr="00392454" w:rsidP="00307338" w14:paraId="6B434AD5" w14:textId="5E154347">
      <w:pPr>
        <w:spacing w:after="120"/>
        <w:jc w:val="both"/>
        <w:rPr>
          <w:rFonts w:ascii="Verdana" w:hAnsi="Verdana"/>
          <w:sz w:val="18"/>
          <w:szCs w:val="18"/>
        </w:rPr>
      </w:pPr>
    </w:p>
    <w:p w:rsidR="00307338" w:rsidRPr="00904D6B" w:rsidP="00904D6B" w14:paraId="55165A50" w14:textId="77777777">
      <w:pPr>
        <w:pStyle w:val="Heading2"/>
      </w:pPr>
      <w:r w:rsidRPr="00904D6B">
        <w:rPr>
          <w:rStyle w:val="normaltextrun"/>
        </w:rPr>
        <w:t>2.1.4 Ansvar</w:t>
      </w:r>
      <w:r w:rsidRPr="00904D6B">
        <w:rPr>
          <w:rStyle w:val="normaltextrun"/>
        </w:rPr>
        <w:t xml:space="preserve"> og myndighet</w:t>
      </w:r>
      <w:r w:rsidRPr="00904D6B">
        <w:rPr>
          <w:rStyle w:val="eop"/>
        </w:rPr>
        <w:t> </w:t>
      </w:r>
    </w:p>
    <w:p w:rsidR="00307338" w:rsidRPr="00392454" w:rsidP="00307338" w14:paraId="55939BEF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 xml:space="preserve">Organiseringen av THYF og avdelingene ved THYF er beskrevet i kvalitetssystemets kapittel 1. Her vises i tillegg organisasjonskart for hele THYF og for avdelingene ved THYF. </w:t>
      </w:r>
    </w:p>
    <w:p w:rsidR="00307338" w:rsidRPr="00392454" w:rsidP="00307338" w14:paraId="1AD1F6BE" w14:textId="0E1B0710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 xml:space="preserve">THYFs organisering er bygget opp rundt </w:t>
      </w:r>
      <w:r w:rsidR="00BB626A">
        <w:rPr>
          <w:rStyle w:val="normaltextrun"/>
          <w:rFonts w:ascii="Verdana" w:eastAsia="Calibri" w:hAnsi="Verdana" w:cs="Arial"/>
          <w:sz w:val="18"/>
          <w:szCs w:val="18"/>
        </w:rPr>
        <w:t>utdanningsinstitusjonen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>s samfunnsoppdrag</w:t>
      </w:r>
      <w:r w:rsidR="00BB626A">
        <w:rPr>
          <w:rStyle w:val="normaltextrun"/>
          <w:rFonts w:ascii="Verdana" w:eastAsia="Calibri" w:hAnsi="Verdana" w:cs="Arial"/>
          <w:sz w:val="18"/>
          <w:szCs w:val="18"/>
        </w:rPr>
        <w:t>,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 xml:space="preserve"> 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 xml:space="preserve">som er å tilby høyere yrkesfaglig utdanning. Tilbudt utdanning skal være i tråd med vedtatt visjon om å </w:t>
      </w:r>
      <w:r w:rsidRPr="00392454">
        <w:rPr>
          <w:rFonts w:ascii="Verdana" w:hAnsi="Verdana"/>
          <w:sz w:val="18"/>
          <w:szCs w:val="18"/>
        </w:rPr>
        <w:t xml:space="preserve">skape </w:t>
      </w:r>
      <w:r w:rsidRPr="00392454">
        <w:rPr>
          <w:rFonts w:ascii="Verdana" w:eastAsia="Calibri" w:hAnsi="Verdana" w:cs="Arial"/>
          <w:sz w:val="18"/>
          <w:szCs w:val="18"/>
        </w:rPr>
        <w:t xml:space="preserve">framtidsrettet kompetanse i samspill med arbeidslivet. </w:t>
      </w:r>
    </w:p>
    <w:p w:rsidR="00307338" w:rsidP="00307338" w14:paraId="03F3A57A" w14:textId="71B35554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392454">
        <w:rPr>
          <w:rFonts w:ascii="Verdana" w:eastAsia="Calibri" w:hAnsi="Verdana" w:cs="Arial"/>
          <w:sz w:val="18"/>
          <w:szCs w:val="18"/>
        </w:rPr>
        <w:t>Dette betyr at THYF skal imøtekomme og tilfredsstille behov og forventninger fra ulike int</w:t>
      </w:r>
      <w:r w:rsidRPr="00392454">
        <w:rPr>
          <w:rFonts w:ascii="Verdana" w:eastAsia="Calibri" w:hAnsi="Verdana" w:cs="Arial"/>
          <w:sz w:val="18"/>
          <w:szCs w:val="18"/>
        </w:rPr>
        <w:t>eresseparter som eksempelvis studenter, ansatte og næringsliv, samt finne og bruke metoder som egner seg for å avdekke behov og forventninger til skolen, se avsnitt 2.1.4.2 og 5.1.1.</w:t>
      </w:r>
    </w:p>
    <w:p w:rsidR="00307338" w:rsidRPr="00392454" w:rsidP="00307338" w14:paraId="351FF39E" w14:textId="32F20DC5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>
        <w:rPr>
          <w:rStyle w:val="normaltextrun"/>
          <w:rFonts w:ascii="Verdana" w:eastAsia="Calibri" w:hAnsi="Verdana" w:cs="Arial"/>
          <w:sz w:val="18"/>
          <w:szCs w:val="18"/>
        </w:rPr>
        <w:t>Rektor i samarbeid med l</w:t>
      </w:r>
      <w:r w:rsidRPr="00392454" w:rsidR="00C66072">
        <w:rPr>
          <w:rStyle w:val="normaltextrun"/>
          <w:rFonts w:ascii="Verdana" w:eastAsia="Calibri" w:hAnsi="Verdana" w:cs="Arial"/>
          <w:sz w:val="18"/>
          <w:szCs w:val="18"/>
        </w:rPr>
        <w:t>edelsens representant</w:t>
      </w:r>
      <w:r>
        <w:rPr>
          <w:rStyle w:val="normaltextrun"/>
          <w:rFonts w:ascii="Verdana" w:eastAsia="Calibri" w:hAnsi="Verdana" w:cs="Arial"/>
          <w:sz w:val="18"/>
          <w:szCs w:val="18"/>
        </w:rPr>
        <w:t xml:space="preserve"> på</w:t>
      </w:r>
      <w:r>
        <w:rPr>
          <w:rStyle w:val="normaltextrun"/>
          <w:rFonts w:ascii="Verdana" w:eastAsia="Calibri" w:hAnsi="Verdana" w:cs="Arial"/>
          <w:sz w:val="18"/>
          <w:szCs w:val="18"/>
        </w:rPr>
        <w:t xml:space="preserve"> studiestedene (</w:t>
      </w:r>
      <w:r w:rsidR="00000E88">
        <w:rPr>
          <w:rStyle w:val="normaltextrun"/>
          <w:rFonts w:ascii="Verdana" w:eastAsia="Calibri" w:hAnsi="Verdana" w:cs="Arial"/>
          <w:sz w:val="18"/>
          <w:szCs w:val="18"/>
        </w:rPr>
        <w:t>se kap. 2.1.6</w:t>
      </w:r>
      <w:r w:rsidRPr="00392454" w:rsidR="00C66072">
        <w:rPr>
          <w:rStyle w:val="normaltextrun"/>
          <w:rFonts w:ascii="Verdana" w:eastAsia="Calibri" w:hAnsi="Verdana" w:cs="Arial"/>
          <w:sz w:val="18"/>
          <w:szCs w:val="18"/>
        </w:rPr>
        <w:t>)</w:t>
      </w:r>
      <w:r>
        <w:rPr>
          <w:rStyle w:val="normaltextrun"/>
          <w:rFonts w:ascii="Verdana" w:eastAsia="Calibri" w:hAnsi="Verdana" w:cs="Arial"/>
          <w:sz w:val="18"/>
          <w:szCs w:val="18"/>
        </w:rPr>
        <w:t>,</w:t>
      </w:r>
      <w:r w:rsidRPr="00392454" w:rsidR="00C66072">
        <w:rPr>
          <w:rStyle w:val="normaltextrun"/>
          <w:rFonts w:ascii="Verdana" w:eastAsia="Calibri" w:hAnsi="Verdana" w:cs="Arial"/>
          <w:sz w:val="18"/>
          <w:szCs w:val="18"/>
        </w:rPr>
        <w:t xml:space="preserve"> kvalitetsansvarlig </w:t>
      </w:r>
      <w:r>
        <w:rPr>
          <w:rStyle w:val="normaltextrun"/>
          <w:rFonts w:ascii="Verdana" w:eastAsia="Calibri" w:hAnsi="Verdana" w:cs="Arial"/>
          <w:sz w:val="18"/>
          <w:szCs w:val="18"/>
        </w:rPr>
        <w:t>samt</w:t>
      </w:r>
      <w:r w:rsidRPr="00392454" w:rsidR="00C66072">
        <w:rPr>
          <w:rStyle w:val="normaltextrun"/>
          <w:rFonts w:ascii="Verdana" w:eastAsia="Calibri" w:hAnsi="Verdana" w:cs="Arial"/>
          <w:sz w:val="18"/>
          <w:szCs w:val="18"/>
        </w:rPr>
        <w:t xml:space="preserve"> øvrige personale </w:t>
      </w:r>
      <w:r>
        <w:rPr>
          <w:rStyle w:val="normaltextrun"/>
          <w:rFonts w:ascii="Verdana" w:eastAsia="Calibri" w:hAnsi="Verdana" w:cs="Arial"/>
          <w:sz w:val="18"/>
          <w:szCs w:val="18"/>
        </w:rPr>
        <w:t xml:space="preserve">ved THYF, skal </w:t>
      </w:r>
      <w:r w:rsidRPr="00392454" w:rsidR="00C66072">
        <w:rPr>
          <w:rStyle w:val="normaltextrun"/>
          <w:rFonts w:ascii="Verdana" w:eastAsia="Calibri" w:hAnsi="Verdana" w:cs="Arial"/>
          <w:sz w:val="18"/>
          <w:szCs w:val="18"/>
        </w:rPr>
        <w:t xml:space="preserve">definere oppgaver, ansvar, myndighet og arbeidsoppgaver som påvirker kvaliteten på organisasjonens aktiviteter. Dette gjelder spesielt for personell med ansvar for </w:t>
      </w:r>
    </w:p>
    <w:p w:rsidR="00307338" w:rsidRPr="00392454" w:rsidP="00307338" w14:paraId="25D1B404" w14:textId="77777777">
      <w:pPr>
        <w:pStyle w:val="ListParagraph"/>
        <w:numPr>
          <w:ilvl w:val="0"/>
          <w:numId w:val="4"/>
        </w:numPr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Ressursledelse</w:t>
      </w:r>
    </w:p>
    <w:p w:rsidR="00307338" w:rsidRPr="00392454" w:rsidP="00307338" w14:paraId="78F3B918" w14:textId="77777777">
      <w:pPr>
        <w:pStyle w:val="ListParagraph"/>
        <w:numPr>
          <w:ilvl w:val="0"/>
          <w:numId w:val="4"/>
        </w:numPr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Å initiere tiltak som forhindrer avvik</w:t>
      </w:r>
    </w:p>
    <w:p w:rsidR="00307338" w:rsidRPr="00392454" w:rsidP="00307338" w14:paraId="3910BE09" w14:textId="77777777">
      <w:pPr>
        <w:pStyle w:val="ListParagraph"/>
        <w:numPr>
          <w:ilvl w:val="0"/>
          <w:numId w:val="4"/>
        </w:numPr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Identifisering og registrering av man</w:t>
      </w:r>
      <w:r w:rsidRPr="00392454">
        <w:rPr>
          <w:rStyle w:val="normaltextrun"/>
          <w:rFonts w:ascii="Verdana" w:hAnsi="Verdana"/>
          <w:sz w:val="18"/>
          <w:szCs w:val="18"/>
        </w:rPr>
        <w:t>gler i opplæringen</w:t>
      </w:r>
    </w:p>
    <w:p w:rsidR="00307338" w:rsidRPr="00392454" w:rsidP="00307338" w14:paraId="525743E6" w14:textId="77777777">
      <w:pPr>
        <w:pStyle w:val="ListParagraph"/>
        <w:numPr>
          <w:ilvl w:val="0"/>
          <w:numId w:val="4"/>
        </w:numPr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Å initiere, anbefale og levere løsninger gjennom anvendte kanaler</w:t>
      </w:r>
    </w:p>
    <w:p w:rsidR="00307338" w:rsidRPr="00392454" w:rsidP="00307338" w14:paraId="78D4A638" w14:textId="77777777">
      <w:pPr>
        <w:pStyle w:val="ListParagraph"/>
        <w:numPr>
          <w:ilvl w:val="0"/>
          <w:numId w:val="4"/>
        </w:numPr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Å verifisere gjennomføring av løsninger og tiltak</w:t>
      </w:r>
    </w:p>
    <w:p w:rsidR="00307338" w:rsidRPr="00392454" w:rsidP="00307338" w14:paraId="10F9A01E" w14:textId="77777777">
      <w:pPr>
        <w:pStyle w:val="ListParagraph"/>
        <w:numPr>
          <w:ilvl w:val="0"/>
          <w:numId w:val="4"/>
        </w:numPr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Prosesskontroll</w:t>
      </w:r>
    </w:p>
    <w:p w:rsidR="00307338" w:rsidRPr="00392454" w:rsidP="00307338" w14:paraId="5380566B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</w:p>
    <w:p w:rsidR="00307338" w:rsidRPr="00392454" w:rsidP="00307338" w14:paraId="7D80378F" w14:textId="77777777">
      <w:pPr>
        <w:spacing w:after="120"/>
        <w:jc w:val="both"/>
        <w:rPr>
          <w:rStyle w:val="normaltextrun"/>
          <w:rFonts w:ascii="Verdana" w:eastAsia="Calibri" w:hAnsi="Verdana" w:cs="Arial"/>
          <w:b/>
          <w:bCs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b/>
          <w:bCs/>
          <w:sz w:val="18"/>
          <w:szCs w:val="18"/>
        </w:rPr>
        <w:t>2.1.4.1 Arbeidsoppgaver, ansvar og myndighet</w:t>
      </w:r>
    </w:p>
    <w:p w:rsidR="00307338" w:rsidRPr="00392454" w:rsidP="00307338" w14:paraId="3AE07058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>Internt er ansvars- og myndighetsområder beskrevet i stilli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>ngsbeskrivelser knyttet til de ulike funksjonene vist i organisasjonskartet, se kapittel 1. Stillingsbeskrivelsene finnes som eget dokument i del B av kvalitetsmanualen</w:t>
      </w:r>
    </w:p>
    <w:p w:rsidR="00307338" w:rsidRPr="00392454" w:rsidP="00307338" w14:paraId="4F42C280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</w:p>
    <w:p w:rsidR="00307338" w:rsidRPr="00392454" w:rsidP="00307338" w14:paraId="669E4EC9" w14:textId="77777777">
      <w:pPr>
        <w:spacing w:after="120"/>
        <w:jc w:val="both"/>
        <w:rPr>
          <w:rStyle w:val="normaltextrun"/>
          <w:rFonts w:ascii="Verdana" w:eastAsia="Calibri" w:hAnsi="Verdana" w:cs="Arial"/>
          <w:b/>
          <w:bCs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b/>
          <w:bCs/>
          <w:sz w:val="18"/>
          <w:szCs w:val="18"/>
        </w:rPr>
        <w:t>2.1.4.2 Identifikasjon og analyse av interesseparter</w:t>
      </w:r>
    </w:p>
    <w:p w:rsidR="00307338" w:rsidRPr="00392454" w:rsidP="00307338" w14:paraId="62416F60" w14:textId="77777777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THYF har gjennomført en identifik</w:t>
      </w:r>
      <w:r w:rsidRPr="00392454">
        <w:rPr>
          <w:rStyle w:val="normaltextrun"/>
          <w:rFonts w:ascii="Verdana" w:hAnsi="Verdana"/>
          <w:sz w:val="18"/>
          <w:szCs w:val="18"/>
        </w:rPr>
        <w:t>asjon av aktuelle interesseparter. Videre er det gjort en analyse av de ulike interessepartene og deres behov og forventninger. Analysen er gjennomført som en skrivebordsundersøkelse, se del B av kvalitetsmanualen.</w:t>
      </w:r>
    </w:p>
    <w:p w:rsidR="00307338" w:rsidRPr="00392454" w:rsidP="00307338" w14:paraId="035AA778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>Gjennomføring av årlige undersøkelser opp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 xml:space="preserve"> mot interne og eksterne interesseparter skal bidra til å forbedre tidligere gjennomført identifikasjon og analyse av behov og forventninger. Se kapittel 5 i manualen.</w:t>
      </w:r>
    </w:p>
    <w:p w:rsidR="00307338" w:rsidRPr="00392454" w:rsidP="00307338" w14:paraId="47D76828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>I sammenheng med identifikasjon og analyse over aktuelle interesseparter er juridiske, e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>tiske og lovmessige krav samt tillatelser knyttet til drift identifisert.</w:t>
      </w:r>
    </w:p>
    <w:p w:rsidR="00307338" w:rsidRPr="00392454" w:rsidP="00307338" w14:paraId="2FA370EA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</w:p>
    <w:p w:rsidR="00307338" w:rsidRPr="00392454" w:rsidP="00307338" w14:paraId="2C2F8678" w14:textId="77777777">
      <w:pPr>
        <w:spacing w:after="120"/>
        <w:jc w:val="both"/>
        <w:rPr>
          <w:rStyle w:val="normaltextrun"/>
          <w:rFonts w:ascii="Verdana" w:eastAsia="Calibri" w:hAnsi="Verdana" w:cs="Arial"/>
          <w:b/>
          <w:bCs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b/>
          <w:bCs/>
          <w:sz w:val="18"/>
          <w:szCs w:val="18"/>
        </w:rPr>
        <w:t>2.1.4.3 Risikovurderinger</w:t>
      </w:r>
    </w:p>
    <w:p w:rsidR="00307338" w:rsidRPr="00392454" w:rsidP="00307338" w14:paraId="36466BAE" w14:textId="77777777">
      <w:pPr>
        <w:spacing w:after="120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>THYF er forpliktet til å identifisere risiko og eksterne faktorer som kan påvirke kvaliteten på opplæringen og resultatet av opplæringen.</w:t>
      </w:r>
    </w:p>
    <w:p w:rsidR="00307338" w:rsidRPr="00392454" w:rsidP="00307338" w14:paraId="469DD3FE" w14:textId="77777777">
      <w:pPr>
        <w:spacing w:after="120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>Interessepart-ana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>lysen berører risikopunkter knyttet til opplæringen ved THYF. I tillegg er det utarbeidet et eget dokument som omhandler risiko og risiko knyttet til eksterne forhold.</w:t>
      </w:r>
    </w:p>
    <w:p w:rsidR="00307338" w:rsidRPr="00392454" w:rsidP="00307338" w14:paraId="2FDA92B0" w14:textId="77777777">
      <w:pPr>
        <w:spacing w:after="120"/>
        <w:rPr>
          <w:rStyle w:val="normaltextrun"/>
          <w:rFonts w:ascii="Verdana" w:eastAsia="Calibri" w:hAnsi="Verdana" w:cs="Arial"/>
          <w:sz w:val="18"/>
          <w:szCs w:val="18"/>
        </w:rPr>
      </w:pPr>
    </w:p>
    <w:p w:rsidR="00307338" w:rsidRPr="00392454" w:rsidP="00307338" w14:paraId="177EDCDE" w14:textId="793DFAC8">
      <w:pPr>
        <w:spacing w:after="120"/>
        <w:jc w:val="both"/>
        <w:rPr>
          <w:rStyle w:val="normaltextrun"/>
          <w:rFonts w:ascii="Verdana" w:eastAsia="Calibri" w:hAnsi="Verdana" w:cs="Arial"/>
          <w:b/>
          <w:bCs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b/>
          <w:bCs/>
          <w:sz w:val="18"/>
          <w:szCs w:val="18"/>
        </w:rPr>
        <w:t>2.1.4.4 Kompetanse og muligheter for utvikling av nye utdanninger</w:t>
      </w:r>
    </w:p>
    <w:p w:rsidR="00307338" w:rsidRPr="00392454" w:rsidP="00307338" w14:paraId="78EBE9AA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 xml:space="preserve">For et samfunn og markeder i endring og dermed en situasjon hvor behovet for kompetanse og type av kompetanse endres over tid, er det viktig for THYF å kunne imøtekomme behov for endringer i kompetanse, jfr. skolens visjon. </w:t>
      </w:r>
    </w:p>
    <w:p w:rsidR="00307338" w:rsidRPr="00392454" w:rsidP="00307338" w14:paraId="0D7027BB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>Behov for nye utdanninger melde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>s inn til THYF fra ulike interesseparter og på ulike måter, eksempelvis direkte fra bransjeorganisasjoner og via regelmessig kontakt med representanter for ulike interesseparter, jfr. avsnitt 2.1.4.2.</w:t>
      </w:r>
    </w:p>
    <w:p w:rsidR="00307338" w:rsidRPr="00392454" w:rsidP="00307338" w14:paraId="22B0E5E9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>Nye utdanninger opprettes etter godkjenning av søknad t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>il NOKUT, dialog med styret i THYF og gjennom samarbeid med avdelingene av rektor.</w:t>
      </w:r>
    </w:p>
    <w:p w:rsidR="00307338" w:rsidRPr="00392454" w:rsidP="00307338" w14:paraId="7770DF3A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</w:p>
    <w:p w:rsidR="00307338" w:rsidRPr="00904D6B" w:rsidP="00904D6B" w14:paraId="2694FDC8" w14:textId="3DEAABA2">
      <w:pPr>
        <w:pStyle w:val="Heading2"/>
      </w:pPr>
      <w:r>
        <w:rPr>
          <w:rStyle w:val="normaltextrun"/>
        </w:rPr>
        <w:br w:type="page"/>
      </w:r>
      <w:r w:rsidRPr="00904D6B" w:rsidR="00E625DD">
        <w:rPr>
          <w:rStyle w:val="normaltextrun"/>
        </w:rPr>
        <w:t>2.1.5 Ledelsessystem</w:t>
      </w:r>
      <w:r w:rsidRPr="00904D6B" w:rsidR="00E625DD">
        <w:rPr>
          <w:rStyle w:val="eop"/>
        </w:rPr>
        <w:t> </w:t>
      </w:r>
    </w:p>
    <w:p w:rsidR="0062606C" w:rsidRPr="00392454" w:rsidP="001221C7" w14:paraId="67E5B5D3" w14:textId="77777777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THYFs kvalitetsledelsessystem har som formål å sikre at skolens opplæringstilbud er i samsvar med spesifiserte godkjenninger og krav.</w:t>
      </w:r>
      <w:r w:rsidRPr="00392454" w:rsidR="001221C7">
        <w:rPr>
          <w:rStyle w:val="normaltextrun"/>
          <w:rFonts w:ascii="Verdana" w:hAnsi="Verdana"/>
          <w:sz w:val="18"/>
          <w:szCs w:val="18"/>
        </w:rPr>
        <w:t xml:space="preserve"> </w:t>
      </w:r>
    </w:p>
    <w:p w:rsidR="0062606C" w:rsidRPr="00392454" w:rsidP="001221C7" w14:paraId="63D2BB1A" w14:textId="4BA753CF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 xml:space="preserve">THYFs kvalitetsdokumenter ligger på web-basert </w:t>
      </w:r>
      <w:r w:rsidRPr="00392454" w:rsidR="00AF413B">
        <w:rPr>
          <w:rStyle w:val="normaltextrun"/>
          <w:rFonts w:ascii="Verdana" w:hAnsi="Verdana"/>
          <w:sz w:val="18"/>
          <w:szCs w:val="18"/>
        </w:rPr>
        <w:t>kvalitetsportal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 og er tilgjengelig for alle ansatte og studenter</w:t>
      </w:r>
      <w:r w:rsidRPr="00392454" w:rsidR="006419E3">
        <w:rPr>
          <w:rStyle w:val="normaltextrun"/>
          <w:rFonts w:ascii="Verdana" w:hAnsi="Verdana"/>
          <w:sz w:val="18"/>
          <w:szCs w:val="18"/>
        </w:rPr>
        <w:t xml:space="preserve">, se </w:t>
      </w:r>
      <w:r w:rsidRPr="00392454" w:rsidR="006419E3">
        <w:rPr>
          <w:rStyle w:val="normaltextrun"/>
          <w:rFonts w:ascii="Verdana" w:hAnsi="Verdana"/>
          <w:sz w:val="18"/>
          <w:szCs w:val="18"/>
        </w:rPr>
        <w:fldChar w:fldCharType="begin"/>
      </w:r>
      <w:r w:rsidRPr="00392454" w:rsidR="006419E3">
        <w:rPr>
          <w:rStyle w:val="normaltextrun"/>
          <w:rFonts w:ascii="Verdana" w:hAnsi="Verdana"/>
          <w:sz w:val="18"/>
          <w:szCs w:val="18"/>
        </w:rPr>
        <w:instrText xml:space="preserve"> REF  _Ref104803080 \* Lower \h </w:instrText>
      </w:r>
      <w:r w:rsidRPr="00392454" w:rsidR="00392454">
        <w:rPr>
          <w:rStyle w:val="normaltextrun"/>
          <w:rFonts w:ascii="Verdana" w:hAnsi="Verdana"/>
          <w:sz w:val="18"/>
          <w:szCs w:val="18"/>
        </w:rPr>
        <w:instrText xml:space="preserve"> \* MERGEFORMAT </w:instrText>
      </w:r>
      <w:r w:rsidRPr="00392454" w:rsidR="006419E3">
        <w:rPr>
          <w:rStyle w:val="normaltextrun"/>
          <w:rFonts w:ascii="Verdana" w:hAnsi="Verdana"/>
          <w:sz w:val="18"/>
          <w:szCs w:val="18"/>
        </w:rPr>
        <w:fldChar w:fldCharType="separate"/>
      </w:r>
      <w:r w:rsidRPr="00BD0114">
        <w:rPr>
          <w:rStyle w:val="normaltextrun"/>
        </w:rPr>
        <w:t>figur 1</w:t>
      </w:r>
      <w:r w:rsidRPr="00392454" w:rsidR="006419E3">
        <w:rPr>
          <w:rStyle w:val="normaltextrun"/>
          <w:rFonts w:ascii="Verdana" w:hAnsi="Verdana"/>
          <w:sz w:val="18"/>
          <w:szCs w:val="18"/>
        </w:rPr>
        <w:fldChar w:fldCharType="end"/>
      </w:r>
      <w:r w:rsidRPr="00392454">
        <w:rPr>
          <w:rStyle w:val="normaltextrun"/>
          <w:rFonts w:ascii="Verdana" w:hAnsi="Verdana"/>
          <w:sz w:val="18"/>
          <w:szCs w:val="18"/>
        </w:rPr>
        <w:t xml:space="preserve">. 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6"/>
      </w:tblGrid>
      <w:tr w14:paraId="277B3B49" w14:textId="77777777" w:rsidTr="00327F8D">
        <w:tblPrEx>
          <w:tblW w:w="92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96" w:type="dxa"/>
            <w:shd w:val="clear" w:color="auto" w:fill="auto"/>
          </w:tcPr>
          <w:p w:rsidR="00E554CF" w:rsidRPr="00327F8D" w:rsidP="00327F8D" w14:paraId="3D0943CF" w14:textId="69757567">
            <w:pPr>
              <w:spacing w:after="120"/>
              <w:jc w:val="both"/>
              <w:rPr>
                <w:rStyle w:val="normaltextrun"/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noProof/>
                <w:sz w:val="18"/>
                <w:szCs w:val="18"/>
              </w:rPr>
              <w:pict>
                <v:shape id="_x0000_i1027" type="#_x0000_t75" style="width:454.5pt;height:177.75pt">
                  <v:imagedata r:id="rId7" o:title="Kvalitetsportal THYF"/>
                </v:shape>
              </w:pict>
            </w:r>
          </w:p>
        </w:tc>
      </w:tr>
    </w:tbl>
    <w:p w:rsidR="006419E3" w:rsidRPr="00392454" w:rsidP="006419E3" w14:paraId="18CA61DA" w14:textId="36536FFE">
      <w:pPr>
        <w:pStyle w:val="Caption"/>
        <w:spacing w:after="120"/>
        <w:jc w:val="both"/>
        <w:rPr>
          <w:rFonts w:ascii="Verdana" w:hAnsi="Verdana"/>
          <w:sz w:val="18"/>
          <w:szCs w:val="18"/>
        </w:rPr>
      </w:pPr>
      <w:bookmarkStart w:id="1" w:name="_Ref104803080"/>
      <w:bookmarkStart w:id="2" w:name="_Ref104803056"/>
      <w:r w:rsidRPr="00392454">
        <w:rPr>
          <w:rFonts w:ascii="Verdana" w:hAnsi="Verdana"/>
          <w:sz w:val="18"/>
          <w:szCs w:val="18"/>
        </w:rPr>
        <w:t xml:space="preserve">Figur </w:t>
      </w:r>
      <w:r w:rsidRPr="00392454">
        <w:rPr>
          <w:rFonts w:ascii="Verdana" w:hAnsi="Verdana"/>
          <w:sz w:val="18"/>
          <w:szCs w:val="18"/>
        </w:rPr>
        <w:fldChar w:fldCharType="begin"/>
      </w:r>
      <w:r w:rsidRPr="00392454">
        <w:rPr>
          <w:rFonts w:ascii="Verdana" w:hAnsi="Verdana"/>
          <w:sz w:val="18"/>
          <w:szCs w:val="18"/>
        </w:rPr>
        <w:instrText xml:space="preserve"> SEQ Figur \* ARABIC </w:instrText>
      </w:r>
      <w:r w:rsidRPr="00392454">
        <w:rPr>
          <w:rFonts w:ascii="Verdana" w:hAnsi="Verdana"/>
          <w:sz w:val="18"/>
          <w:szCs w:val="18"/>
        </w:rPr>
        <w:fldChar w:fldCharType="separate"/>
      </w:r>
      <w:r w:rsidRPr="00392454">
        <w:rPr>
          <w:rFonts w:ascii="Verdana" w:hAnsi="Verdana"/>
          <w:sz w:val="18"/>
          <w:szCs w:val="18"/>
        </w:rPr>
        <w:t>1</w:t>
      </w:r>
      <w:r w:rsidRPr="00392454">
        <w:rPr>
          <w:rFonts w:ascii="Verdana" w:hAnsi="Verdana"/>
          <w:noProof/>
          <w:sz w:val="18"/>
          <w:szCs w:val="18"/>
        </w:rPr>
        <w:fldChar w:fldCharType="end"/>
      </w:r>
      <w:bookmarkEnd w:id="1"/>
      <w:r w:rsidRPr="00392454">
        <w:rPr>
          <w:rFonts w:ascii="Verdana" w:hAnsi="Verdana"/>
          <w:sz w:val="18"/>
          <w:szCs w:val="18"/>
        </w:rPr>
        <w:t>: Bildet viser utsnitt fra kvalitetsportalen ved THYF.</w:t>
      </w:r>
      <w:bookmarkEnd w:id="2"/>
    </w:p>
    <w:p w:rsidR="00E44A25" w:rsidP="001221C7" w14:paraId="2DD69349" w14:textId="77777777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</w:p>
    <w:p w:rsidR="00CA59B0" w:rsidP="001221C7" w14:paraId="1AB32D5F" w14:textId="13C1C112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>
        <w:rPr>
          <w:rStyle w:val="normaltextrun"/>
          <w:rFonts w:ascii="Verdana" w:hAnsi="Verdana"/>
          <w:sz w:val="18"/>
          <w:szCs w:val="18"/>
        </w:rPr>
        <w:t>A</w:t>
      </w:r>
      <w:r w:rsidRPr="00392454" w:rsidR="00E625DD">
        <w:rPr>
          <w:rStyle w:val="normaltextrun"/>
          <w:rFonts w:ascii="Verdana" w:hAnsi="Verdana"/>
          <w:sz w:val="18"/>
          <w:szCs w:val="18"/>
        </w:rPr>
        <w:t xml:space="preserve">nsatte og studenter gis </w:t>
      </w:r>
      <w:r>
        <w:rPr>
          <w:rStyle w:val="normaltextrun"/>
          <w:rFonts w:ascii="Verdana" w:hAnsi="Verdana"/>
          <w:sz w:val="18"/>
          <w:szCs w:val="18"/>
        </w:rPr>
        <w:t>t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ilgang til kvalitetsportal </w:t>
      </w:r>
      <w:r>
        <w:rPr>
          <w:rStyle w:val="normaltextrun"/>
          <w:rFonts w:ascii="Verdana" w:hAnsi="Verdana"/>
          <w:sz w:val="18"/>
          <w:szCs w:val="18"/>
        </w:rPr>
        <w:t xml:space="preserve">med dokumentmodul </w:t>
      </w:r>
      <w:r w:rsidRPr="00392454" w:rsidR="00E625DD">
        <w:rPr>
          <w:rStyle w:val="normaltextrun"/>
          <w:rFonts w:ascii="Verdana" w:hAnsi="Verdana"/>
          <w:sz w:val="18"/>
          <w:szCs w:val="18"/>
        </w:rPr>
        <w:t>via</w:t>
      </w:r>
      <w:r>
        <w:rPr>
          <w:rStyle w:val="normaltextrun"/>
          <w:rFonts w:ascii="Verdana" w:hAnsi="Verdana"/>
          <w:sz w:val="18"/>
          <w:szCs w:val="18"/>
        </w:rPr>
        <w:t xml:space="preserve"> internett og nedlastbar APP for mobiltelefon/nettbrett fra leverandøren av systemet via Google</w:t>
      </w:r>
      <w:r>
        <w:rPr>
          <w:rStyle w:val="normaltextrun"/>
          <w:rFonts w:ascii="Verdana" w:hAnsi="Verdana"/>
          <w:sz w:val="18"/>
          <w:szCs w:val="18"/>
        </w:rPr>
        <w:t xml:space="preserve"> Play og App Store. </w:t>
      </w:r>
    </w:p>
    <w:p w:rsidR="00C922D3" w:rsidP="00CA59B0" w14:paraId="62A0B57C" w14:textId="0404C1AE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>
        <w:rPr>
          <w:rStyle w:val="normaltextrun"/>
          <w:rFonts w:ascii="Verdana" w:hAnsi="Verdana"/>
          <w:sz w:val="18"/>
          <w:szCs w:val="18"/>
        </w:rPr>
        <w:t>Lenke for tilkopling til skyløsning på internett og konfigurering av APP</w:t>
      </w:r>
      <w:r w:rsidRPr="00392454" w:rsidR="00E625DD">
        <w:rPr>
          <w:rStyle w:val="normaltextrun"/>
          <w:rFonts w:ascii="Verdana" w:hAnsi="Verdana"/>
          <w:sz w:val="18"/>
          <w:szCs w:val="18"/>
        </w:rPr>
        <w:t xml:space="preserve">: </w:t>
      </w:r>
      <w:hyperlink r:id="rId8" w:history="1">
        <w:r w:rsidRPr="000B5562">
          <w:rPr>
            <w:rStyle w:val="Hyperlink"/>
            <w:rFonts w:ascii="Verdana" w:hAnsi="Verdana"/>
            <w:sz w:val="18"/>
            <w:szCs w:val="18"/>
          </w:rPr>
          <w:t>https://thyf.dkhosting.no</w:t>
        </w:r>
      </w:hyperlink>
      <w:r>
        <w:rPr>
          <w:rStyle w:val="normaltextrun"/>
          <w:rFonts w:ascii="Verdana" w:hAnsi="Verdana"/>
          <w:sz w:val="18"/>
          <w:szCs w:val="18"/>
        </w:rPr>
        <w:t xml:space="preserve"> </w:t>
      </w:r>
    </w:p>
    <w:p w:rsidR="0062606C" w:rsidRPr="00392454" w:rsidP="00CA59B0" w14:paraId="1D1E9173" w14:textId="54754294">
      <w:pPr>
        <w:spacing w:after="120"/>
        <w:contextualSpacing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Bruker</w:t>
      </w:r>
      <w:r w:rsidR="00C922D3">
        <w:rPr>
          <w:rStyle w:val="normaltextrun"/>
          <w:rFonts w:ascii="Verdana" w:hAnsi="Verdana"/>
          <w:sz w:val="18"/>
          <w:szCs w:val="18"/>
        </w:rPr>
        <w:t xml:space="preserve"> 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logger </w:t>
      </w:r>
      <w:r w:rsidR="00C922D3">
        <w:rPr>
          <w:rStyle w:val="normaltextrun"/>
          <w:rFonts w:ascii="Verdana" w:hAnsi="Verdana"/>
          <w:sz w:val="18"/>
          <w:szCs w:val="18"/>
        </w:rPr>
        <w:t xml:space="preserve">på 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via </w:t>
      </w:r>
      <w:r w:rsidR="00CA59B0">
        <w:rPr>
          <w:rStyle w:val="normaltextrun"/>
          <w:rFonts w:ascii="Verdana" w:hAnsi="Verdana"/>
          <w:sz w:val="18"/>
          <w:szCs w:val="18"/>
        </w:rPr>
        <w:t>«</w:t>
      </w:r>
      <w:r w:rsidRPr="00392454">
        <w:rPr>
          <w:rStyle w:val="normaltextrun"/>
          <w:rFonts w:ascii="Verdana" w:hAnsi="Verdana"/>
          <w:sz w:val="18"/>
          <w:szCs w:val="18"/>
        </w:rPr>
        <w:t>knapp</w:t>
      </w:r>
      <w:r w:rsidR="00CA59B0">
        <w:rPr>
          <w:rStyle w:val="normaltextrun"/>
          <w:rFonts w:ascii="Verdana" w:hAnsi="Verdana"/>
          <w:sz w:val="18"/>
          <w:szCs w:val="18"/>
        </w:rPr>
        <w:t>»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 merket </w:t>
      </w:r>
      <w:r w:rsidRPr="00392454">
        <w:rPr>
          <w:rStyle w:val="normaltextrun"/>
          <w:rFonts w:ascii="Verdana" w:hAnsi="Verdana"/>
          <w:b/>
          <w:bCs/>
          <w:sz w:val="18"/>
          <w:szCs w:val="18"/>
        </w:rPr>
        <w:t>Microsoft 365</w:t>
      </w:r>
    </w:p>
    <w:p w:rsidR="00307338" w:rsidRPr="00392454" w:rsidP="00307338" w14:paraId="3CD8BAAC" w14:textId="28DDA987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</w:p>
    <w:p w:rsidR="001221C7" w:rsidRPr="00392454" w:rsidP="0072798C" w14:paraId="5ABD55C4" w14:textId="404B559C">
      <w:pPr>
        <w:spacing w:after="120"/>
        <w:jc w:val="both"/>
        <w:rPr>
          <w:rStyle w:val="normaltextrun"/>
          <w:rFonts w:ascii="Verdana" w:hAnsi="Verdana"/>
          <w:b/>
          <w:bCs/>
          <w:sz w:val="18"/>
          <w:szCs w:val="18"/>
        </w:rPr>
      </w:pPr>
      <w:r w:rsidRPr="00392454">
        <w:rPr>
          <w:rStyle w:val="normaltextrun"/>
          <w:rFonts w:ascii="Verdana" w:hAnsi="Verdana"/>
          <w:b/>
          <w:bCs/>
          <w:sz w:val="18"/>
          <w:szCs w:val="18"/>
        </w:rPr>
        <w:t xml:space="preserve">2.1.5.1 </w:t>
      </w:r>
      <w:r w:rsidR="00904D6B">
        <w:rPr>
          <w:rStyle w:val="normaltextrun"/>
          <w:rFonts w:ascii="Verdana" w:hAnsi="Verdana"/>
          <w:b/>
          <w:bCs/>
          <w:sz w:val="18"/>
          <w:szCs w:val="18"/>
        </w:rPr>
        <w:t xml:space="preserve">Kvalitetsportal - </w:t>
      </w:r>
      <w:r w:rsidRPr="00392454">
        <w:rPr>
          <w:rStyle w:val="normaltextrun"/>
          <w:rFonts w:ascii="Verdana" w:hAnsi="Verdana"/>
          <w:b/>
          <w:bCs/>
          <w:sz w:val="18"/>
          <w:szCs w:val="18"/>
        </w:rPr>
        <w:t>Web-basert digitalt kvalitetssystem</w:t>
      </w:r>
    </w:p>
    <w:p w:rsidR="001221C7" w:rsidRPr="00392454" w:rsidP="00307338" w14:paraId="78F1765A" w14:textId="0913E5C8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Kvalitetssystemets d</w:t>
      </w:r>
      <w:r w:rsidRPr="00392454" w:rsidR="00096BA6">
        <w:rPr>
          <w:rStyle w:val="normaltextrun"/>
          <w:rFonts w:ascii="Verdana" w:hAnsi="Verdana"/>
          <w:sz w:val="18"/>
          <w:szCs w:val="18"/>
        </w:rPr>
        <w:t xml:space="preserve">okumentmodul er delt inn i to hovedområder, del A 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og del B. I del A ligger THYFs </w:t>
      </w:r>
      <w:r w:rsidRPr="00392454" w:rsidR="00096BA6">
        <w:rPr>
          <w:rStyle w:val="normaltextrun"/>
          <w:rFonts w:ascii="Verdana" w:hAnsi="Verdana"/>
          <w:sz w:val="18"/>
          <w:szCs w:val="18"/>
        </w:rPr>
        <w:t>kvalitetsmanual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. I </w:t>
      </w:r>
      <w:r w:rsidRPr="00392454" w:rsidR="00096BA6">
        <w:rPr>
          <w:rStyle w:val="normaltextrun"/>
          <w:rFonts w:ascii="Verdana" w:hAnsi="Verdana"/>
          <w:sz w:val="18"/>
          <w:szCs w:val="18"/>
        </w:rPr>
        <w:t xml:space="preserve">del B </w:t>
      </w:r>
      <w:r w:rsidRPr="00392454">
        <w:rPr>
          <w:rStyle w:val="normaltextrun"/>
          <w:rFonts w:ascii="Verdana" w:hAnsi="Verdana"/>
          <w:sz w:val="18"/>
          <w:szCs w:val="18"/>
        </w:rPr>
        <w:t>ligge</w:t>
      </w:r>
      <w:r w:rsidRPr="00392454" w:rsidR="00096BA6">
        <w:rPr>
          <w:rStyle w:val="normaltextrun"/>
          <w:rFonts w:ascii="Verdana" w:hAnsi="Verdana"/>
          <w:sz w:val="18"/>
          <w:szCs w:val="18"/>
        </w:rPr>
        <w:t>r prosedyrer, tabeller og andre relevante kvalitetsdokumenter.</w:t>
      </w:r>
    </w:p>
    <w:p w:rsidR="00904D6B" w:rsidRPr="00392454" w:rsidP="00904D6B" w14:paraId="697E8F5A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Dokumentmodulen fungerer som et hjelpemiddel for ansatte i det daglige arbeidet</w:t>
      </w:r>
      <w:r>
        <w:rPr>
          <w:rStyle w:val="normaltextrun"/>
          <w:rFonts w:ascii="Verdana" w:hAnsi="Verdana"/>
          <w:sz w:val="18"/>
          <w:szCs w:val="18"/>
        </w:rPr>
        <w:t>, og gir tilgang til dokumenter i kvalitetssystemet, samt forbedrings- og meldesystem</w:t>
      </w:r>
      <w:r w:rsidRPr="00392454">
        <w:rPr>
          <w:rStyle w:val="normaltextrun"/>
          <w:rFonts w:ascii="Verdana" w:hAnsi="Verdana"/>
          <w:sz w:val="18"/>
          <w:szCs w:val="18"/>
        </w:rPr>
        <w:t>.</w:t>
      </w:r>
    </w:p>
    <w:p w:rsidR="001221C7" w:rsidRPr="00392454" w:rsidP="00307338" w14:paraId="71D1D797" w14:textId="69216581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Kvalitetsmanualen dekker alle områder som er av betydning for levering av tilbudte tjenest</w:t>
      </w:r>
      <w:r w:rsidRPr="00392454">
        <w:rPr>
          <w:rStyle w:val="normaltextrun"/>
          <w:rFonts w:ascii="Verdana" w:hAnsi="Verdana"/>
          <w:sz w:val="18"/>
          <w:szCs w:val="18"/>
        </w:rPr>
        <w:t>er, inklusive sikkerhetskopiering og administrative tjenester. Kvalitetsmanualen inneholder i tillegg henvisninger til prosedyrer som påvirker kvaliteten på tilbudt opplæring generelt og struktur av nødvendig dokumentasjon knyttet til kvalitetsledelsessyst</w:t>
      </w:r>
      <w:r w:rsidRPr="00392454">
        <w:rPr>
          <w:rStyle w:val="normaltextrun"/>
          <w:rFonts w:ascii="Verdana" w:hAnsi="Verdana"/>
          <w:sz w:val="18"/>
          <w:szCs w:val="18"/>
        </w:rPr>
        <w:t>emet.</w:t>
      </w:r>
    </w:p>
    <w:p w:rsidR="001221C7" w:rsidRPr="00392454" w:rsidP="00307338" w14:paraId="47E26DE4" w14:textId="77777777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</w:p>
    <w:p w:rsidR="001221C7" w:rsidRPr="00392454" w:rsidP="00307338" w14:paraId="653E6D57" w14:textId="0EEA87B5">
      <w:pPr>
        <w:spacing w:after="120"/>
        <w:jc w:val="both"/>
        <w:rPr>
          <w:rStyle w:val="normaltextrun"/>
          <w:rFonts w:ascii="Verdana" w:hAnsi="Verdana"/>
          <w:b/>
          <w:bCs/>
          <w:sz w:val="18"/>
          <w:szCs w:val="18"/>
        </w:rPr>
      </w:pPr>
      <w:r w:rsidRPr="00392454">
        <w:rPr>
          <w:rStyle w:val="normaltextrun"/>
          <w:rFonts w:ascii="Verdana" w:hAnsi="Verdana"/>
          <w:b/>
          <w:bCs/>
          <w:sz w:val="18"/>
          <w:szCs w:val="18"/>
        </w:rPr>
        <w:t>2.1.5.2 Informasjon om endringer av kvalitetssystemet</w:t>
      </w:r>
    </w:p>
    <w:p w:rsidR="00E76F23" w:rsidRPr="00392454" w:rsidP="00307338" w14:paraId="3D63F31C" w14:textId="77777777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 xml:space="preserve">Web-løsningen er satt opp slik at det generelt sendes ut melding om endringer i systemets dokumenter med lesebekreftelse. </w:t>
      </w:r>
    </w:p>
    <w:p w:rsidR="00B23BA3" w:rsidRPr="00392454" w:rsidP="00307338" w14:paraId="5DC94E9E" w14:textId="77777777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Meldingen gir en merknad om hva som er endret i forhold til tidligere ve</w:t>
      </w:r>
      <w:r w:rsidRPr="00392454">
        <w:rPr>
          <w:rStyle w:val="normaltextrun"/>
          <w:rFonts w:ascii="Verdana" w:hAnsi="Verdana"/>
          <w:sz w:val="18"/>
          <w:szCs w:val="18"/>
        </w:rPr>
        <w:t>rsjon av dokumentet. Den enkelte ansatte ved THYF er forpliktet til å sette seg inn i endringer av systemet</w:t>
      </w:r>
      <w:r w:rsidRPr="00392454" w:rsidR="00586C08">
        <w:rPr>
          <w:rStyle w:val="normaltextrun"/>
          <w:rFonts w:ascii="Verdana" w:hAnsi="Verdana"/>
          <w:sz w:val="18"/>
          <w:szCs w:val="18"/>
        </w:rPr>
        <w:t xml:space="preserve"> ved mottak av endringsmelding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. </w:t>
      </w:r>
    </w:p>
    <w:p w:rsidR="001221C7" w:rsidRPr="00392454" w:rsidP="00307338" w14:paraId="5EB33660" w14:textId="4C685838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E</w:t>
      </w:r>
      <w:r w:rsidRPr="00392454" w:rsidR="00E76F23">
        <w:rPr>
          <w:rStyle w:val="normaltextrun"/>
          <w:rFonts w:ascii="Verdana" w:hAnsi="Verdana"/>
          <w:sz w:val="18"/>
          <w:szCs w:val="18"/>
        </w:rPr>
        <w:t xml:space="preserve">ndringer av </w:t>
      </w:r>
      <w:r w:rsidRPr="00392454">
        <w:rPr>
          <w:rStyle w:val="normaltextrun"/>
          <w:rFonts w:ascii="Verdana" w:hAnsi="Verdana"/>
          <w:sz w:val="18"/>
          <w:szCs w:val="18"/>
        </w:rPr>
        <w:t>dokumenter i det digitale kvalitetsledelses</w:t>
      </w:r>
      <w:r w:rsidRPr="00392454" w:rsidR="00E76F23">
        <w:rPr>
          <w:rStyle w:val="normaltextrun"/>
          <w:rFonts w:ascii="Verdana" w:hAnsi="Verdana"/>
          <w:sz w:val="18"/>
          <w:szCs w:val="18"/>
        </w:rPr>
        <w:t>systemet arkiveres som egen logg.</w:t>
      </w:r>
    </w:p>
    <w:p w:rsidR="00AF413B" w:rsidRPr="00392454" w:rsidP="00307338" w14:paraId="2E683EF8" w14:textId="10EC27CA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Behov for endringer av praksis og rutiner innenfor kvalitetsledelsessystemet kan meldes direkte til kvalitetsansvarlig eller som forbedringsforslag via skolens forbedringssystem, se avsnitt 2.1.9.</w:t>
      </w:r>
    </w:p>
    <w:p w:rsidR="00E554CF" w:rsidRPr="00392454" w:rsidP="00307338" w14:paraId="4EBF3AF0" w14:textId="1944D8C4">
      <w:pPr>
        <w:spacing w:after="120"/>
        <w:jc w:val="both"/>
        <w:rPr>
          <w:rStyle w:val="normaltextrun"/>
          <w:rFonts w:ascii="Verdana" w:hAnsi="Verdana"/>
          <w:sz w:val="18"/>
          <w:szCs w:val="18"/>
        </w:rPr>
      </w:pPr>
    </w:p>
    <w:p w:rsidR="00307338" w:rsidRPr="00392454" w:rsidP="00307338" w14:paraId="617E2A3B" w14:textId="6EC72FE1">
      <w:pPr>
        <w:spacing w:after="120"/>
        <w:jc w:val="both"/>
        <w:rPr>
          <w:rStyle w:val="normaltextrun"/>
          <w:rFonts w:ascii="Verdana" w:eastAsia="Calibri" w:hAnsi="Verdana" w:cs="Arial"/>
          <w:b/>
          <w:bCs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18"/>
          <w:szCs w:val="18"/>
        </w:rPr>
        <w:br w:type="page"/>
      </w:r>
      <w:r w:rsidRPr="00392454" w:rsidR="00E625DD">
        <w:rPr>
          <w:rStyle w:val="normaltextrun"/>
          <w:rFonts w:ascii="Verdana" w:hAnsi="Verdana"/>
          <w:b/>
          <w:bCs/>
          <w:sz w:val="18"/>
          <w:szCs w:val="18"/>
        </w:rPr>
        <w:t xml:space="preserve"> </w:t>
      </w:r>
      <w:r w:rsidRPr="00392454" w:rsidR="00AF413B">
        <w:rPr>
          <w:rStyle w:val="normaltextrun"/>
          <w:rFonts w:ascii="Verdana" w:hAnsi="Verdana"/>
          <w:b/>
          <w:bCs/>
          <w:sz w:val="18"/>
          <w:szCs w:val="18"/>
        </w:rPr>
        <w:t>2.1.5.3 Endringer av studietilbud</w:t>
      </w:r>
    </w:p>
    <w:p w:rsidR="0072798C" w:rsidP="00307338" w14:paraId="4F2C3952" w14:textId="59171B14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>Ved endringer i akkred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>iterte og sertifiserte tilbud som gis til studentene ved THYF skal disse endringene meldes videre</w:t>
      </w:r>
      <w:r w:rsidRPr="00392454" w:rsidR="000830A2">
        <w:rPr>
          <w:rStyle w:val="normaltextrun"/>
          <w:rFonts w:ascii="Verdana" w:eastAsia="Calibri" w:hAnsi="Verdana" w:cs="Arial"/>
          <w:sz w:val="18"/>
          <w:szCs w:val="18"/>
        </w:rPr>
        <w:t xml:space="preserve"> til organ for akkreditering og </w:t>
      </w:r>
      <w:r w:rsidR="001749A0">
        <w:rPr>
          <w:rStyle w:val="normaltextrun"/>
          <w:rFonts w:ascii="Verdana" w:eastAsia="Calibri" w:hAnsi="Verdana" w:cs="Arial"/>
          <w:sz w:val="18"/>
          <w:szCs w:val="18"/>
        </w:rPr>
        <w:t>godkjenn</w:t>
      </w:r>
      <w:r w:rsidRPr="00392454" w:rsidR="000830A2">
        <w:rPr>
          <w:rStyle w:val="normaltextrun"/>
          <w:rFonts w:ascii="Verdana" w:eastAsia="Calibri" w:hAnsi="Verdana" w:cs="Arial"/>
          <w:sz w:val="18"/>
          <w:szCs w:val="18"/>
        </w:rPr>
        <w:t>ing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 xml:space="preserve">, jfr. </w:t>
      </w:r>
      <w:r w:rsidRPr="0090240C" w:rsidR="000830A2">
        <w:rPr>
          <w:rStyle w:val="normaltextrun"/>
          <w:rFonts w:ascii="Verdana" w:eastAsia="Calibri" w:hAnsi="Verdana" w:cs="Arial"/>
          <w:sz w:val="18"/>
          <w:szCs w:val="18"/>
        </w:rPr>
        <w:fldChar w:fldCharType="begin"/>
      </w:r>
      <w:r w:rsidRPr="0090240C" w:rsidR="000830A2">
        <w:rPr>
          <w:rStyle w:val="normaltextrun"/>
          <w:rFonts w:ascii="Verdana" w:eastAsia="Calibri" w:hAnsi="Verdana" w:cs="Arial"/>
          <w:sz w:val="18"/>
          <w:szCs w:val="18"/>
        </w:rPr>
        <w:instrText xml:space="preserve"> REF  _Ref104805746 \* Lower \h </w:instrText>
      </w:r>
      <w:r w:rsidRPr="0090240C" w:rsidR="00392454">
        <w:rPr>
          <w:rStyle w:val="normaltextrun"/>
          <w:rFonts w:ascii="Verdana" w:eastAsia="Calibri" w:hAnsi="Verdana" w:cs="Arial"/>
          <w:sz w:val="18"/>
          <w:szCs w:val="18"/>
        </w:rPr>
        <w:instrText xml:space="preserve"> \* MERGEFORMAT </w:instrText>
      </w:r>
      <w:r w:rsidRPr="0090240C" w:rsidR="000830A2">
        <w:rPr>
          <w:rStyle w:val="normaltextrun"/>
          <w:rFonts w:ascii="Verdana" w:eastAsia="Calibri" w:hAnsi="Verdana" w:cs="Arial"/>
          <w:sz w:val="18"/>
          <w:szCs w:val="18"/>
        </w:rPr>
        <w:fldChar w:fldCharType="separate"/>
      </w:r>
      <w:r w:rsidRPr="00BD0114">
        <w:rPr>
          <w:rStyle w:val="normaltextrun"/>
          <w:rFonts w:eastAsia="Calibri" w:cs="Arial"/>
        </w:rPr>
        <w:t>tabell 1</w:t>
      </w:r>
      <w:r w:rsidRPr="0090240C" w:rsidR="000830A2">
        <w:rPr>
          <w:rStyle w:val="normaltextrun"/>
          <w:rFonts w:ascii="Verdana" w:eastAsia="Calibri" w:hAnsi="Verdana" w:cs="Arial"/>
          <w:sz w:val="18"/>
          <w:szCs w:val="18"/>
        </w:rPr>
        <w:fldChar w:fldCharType="end"/>
      </w:r>
      <w:r>
        <w:rPr>
          <w:rStyle w:val="normaltextrun"/>
          <w:rFonts w:ascii="Verdana" w:eastAsia="Calibri" w:hAnsi="Verdana" w:cs="Arial"/>
          <w:sz w:val="18"/>
          <w:szCs w:val="18"/>
        </w:rPr>
        <w:t>.</w:t>
      </w:r>
    </w:p>
    <w:p w:rsidR="0072798C" w14:paraId="32C8DCA5" w14:textId="3CD38725"/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</w:tblBorders>
        <w:tblLook w:val="04A0"/>
      </w:tblPr>
      <w:tblGrid>
        <w:gridCol w:w="6204"/>
        <w:gridCol w:w="3007"/>
      </w:tblGrid>
      <w:tr w14:paraId="20755BA1" w14:textId="77777777" w:rsidTr="00327F8D">
        <w:tblPrEx>
          <w:tblW w:w="0" w:type="auto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</w:tblBorders>
          <w:tblLook w:val="04A0"/>
        </w:tblPrEx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419E3" w:rsidRPr="00327F8D" w:rsidP="00327F8D" w14:paraId="28013899" w14:textId="00FA30B5">
            <w:pPr>
              <w:jc w:val="both"/>
              <w:rPr>
                <w:rStyle w:val="normaltextrun"/>
                <w:rFonts w:ascii="Verdana" w:eastAsia="Calibri" w:hAnsi="Verdana" w:cs="Arial"/>
                <w:b/>
                <w:bCs/>
                <w:color w:val="FFFFFF"/>
                <w:sz w:val="16"/>
                <w:szCs w:val="16"/>
              </w:rPr>
            </w:pPr>
            <w:r w:rsidRPr="00327F8D">
              <w:rPr>
                <w:rStyle w:val="normaltextrun"/>
                <w:rFonts w:ascii="Verdana" w:eastAsia="Calibri" w:hAnsi="Verdana" w:cs="Arial"/>
                <w:b/>
                <w:bCs/>
                <w:color w:val="FFFFFF"/>
                <w:sz w:val="16"/>
                <w:szCs w:val="16"/>
              </w:rPr>
              <w:br w:type="page"/>
            </w:r>
            <w:r w:rsidRPr="00327F8D" w:rsidR="00000E88">
              <w:rPr>
                <w:rStyle w:val="normaltextrun"/>
                <w:rFonts w:ascii="Verdana" w:eastAsia="Calibri" w:hAnsi="Verdana" w:cs="Arial"/>
                <w:b/>
                <w:bCs/>
                <w:color w:val="FFFFFF"/>
                <w:sz w:val="16"/>
                <w:szCs w:val="16"/>
              </w:rPr>
              <w:br w:type="page"/>
            </w:r>
            <w:r w:rsidRPr="00327F8D" w:rsidR="00000E88">
              <w:rPr>
                <w:sz w:val="16"/>
                <w:szCs w:val="16"/>
              </w:rPr>
              <w:br w:type="page"/>
            </w:r>
            <w:r w:rsidRPr="00327F8D">
              <w:rPr>
                <w:rStyle w:val="normaltextrun"/>
                <w:rFonts w:ascii="Verdana" w:eastAsia="Calibri" w:hAnsi="Verdana" w:cs="Arial"/>
                <w:b/>
                <w:bCs/>
                <w:color w:val="FFFFFF"/>
                <w:sz w:val="16"/>
                <w:szCs w:val="16"/>
              </w:rPr>
              <w:t>Tilbudt utdanning</w:t>
            </w:r>
            <w:r w:rsidRPr="00327F8D" w:rsidR="00930CC1">
              <w:rPr>
                <w:rStyle w:val="normaltextrun"/>
                <w:rFonts w:ascii="Verdana" w:eastAsia="Calibri" w:hAnsi="Verdana" w:cs="Arial"/>
                <w:b/>
                <w:bCs/>
                <w:color w:val="FFFFFF"/>
                <w:sz w:val="16"/>
                <w:szCs w:val="16"/>
              </w:rPr>
              <w:t xml:space="preserve"> ved THYF</w:t>
            </w:r>
          </w:p>
          <w:p w:rsidR="006419E3" w:rsidRPr="00327F8D" w:rsidP="00327F8D" w14:paraId="14D30E1F" w14:textId="078F8580">
            <w:pPr>
              <w:jc w:val="both"/>
              <w:rPr>
                <w:rStyle w:val="normaltextrun"/>
                <w:rFonts w:ascii="Verdana" w:eastAsia="Calibri" w:hAnsi="Verdana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419E3" w:rsidRPr="00327F8D" w:rsidP="00327F8D" w14:paraId="7FD16DFC" w14:textId="440B7B8C">
            <w:pPr>
              <w:spacing w:after="120"/>
              <w:jc w:val="both"/>
              <w:rPr>
                <w:rStyle w:val="normaltextrun"/>
                <w:rFonts w:ascii="Verdana" w:eastAsia="Calibri" w:hAnsi="Verdana" w:cs="Arial"/>
                <w:b/>
                <w:bCs/>
                <w:color w:val="FFFFFF"/>
                <w:sz w:val="16"/>
                <w:szCs w:val="16"/>
              </w:rPr>
            </w:pPr>
            <w:r w:rsidRPr="00327F8D">
              <w:rPr>
                <w:rStyle w:val="normaltextrun"/>
                <w:rFonts w:ascii="Verdana" w:eastAsia="Calibri" w:hAnsi="Verdana" w:cs="Arial"/>
                <w:b/>
                <w:bCs/>
                <w:color w:val="FFFFFF"/>
                <w:sz w:val="16"/>
                <w:szCs w:val="16"/>
              </w:rPr>
              <w:t>Organ for sertifisering og akkreditering</w:t>
            </w:r>
          </w:p>
        </w:tc>
      </w:tr>
      <w:tr w14:paraId="69B5584E" w14:textId="77777777" w:rsidTr="00327F8D">
        <w:tblPrEx>
          <w:tblW w:w="0" w:type="auto"/>
          <w:tblLook w:val="04A0"/>
        </w:tblPrEx>
        <w:tc>
          <w:tcPr>
            <w:tcW w:w="6204" w:type="dxa"/>
            <w:shd w:val="clear" w:color="auto" w:fill="CCCCCC"/>
          </w:tcPr>
          <w:p w:rsidR="006419E3" w:rsidRPr="00327F8D" w:rsidP="00327F8D" w14:paraId="5148E55C" w14:textId="67DE6659">
            <w:pPr>
              <w:spacing w:after="120"/>
              <w:jc w:val="both"/>
              <w:rPr>
                <w:rStyle w:val="normaltextrun"/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327F8D">
              <w:rPr>
                <w:rStyle w:val="normaltextrun"/>
                <w:rFonts w:ascii="Verdana" w:eastAsia="Calibri" w:hAnsi="Verdana" w:cs="Arial"/>
                <w:sz w:val="16"/>
                <w:szCs w:val="16"/>
              </w:rPr>
              <w:t>Generell akkreditering av tilbud</w:t>
            </w:r>
            <w:r w:rsidRPr="00327F8D" w:rsidR="000830A2">
              <w:rPr>
                <w:rStyle w:val="normaltextrun"/>
                <w:rFonts w:ascii="Verdana" w:eastAsia="Calibri" w:hAnsi="Verdana" w:cs="Arial"/>
                <w:sz w:val="16"/>
                <w:szCs w:val="16"/>
              </w:rPr>
              <w:t>:</w:t>
            </w:r>
          </w:p>
        </w:tc>
        <w:tc>
          <w:tcPr>
            <w:tcW w:w="3007" w:type="dxa"/>
            <w:shd w:val="clear" w:color="auto" w:fill="CCCCCC"/>
          </w:tcPr>
          <w:p w:rsidR="006419E3" w:rsidRPr="00327F8D" w:rsidP="00327F8D" w14:paraId="7493EB43" w14:textId="0F3C1F37">
            <w:pPr>
              <w:spacing w:after="120"/>
              <w:jc w:val="center"/>
              <w:rPr>
                <w:rStyle w:val="normaltextrun"/>
                <w:rFonts w:ascii="Verdana" w:eastAsia="Calibri" w:hAnsi="Verdana" w:cs="Arial"/>
                <w:sz w:val="16"/>
                <w:szCs w:val="16"/>
              </w:rPr>
            </w:pPr>
            <w:r w:rsidRPr="00327F8D">
              <w:rPr>
                <w:rStyle w:val="normaltextrun"/>
                <w:rFonts w:ascii="Verdana" w:eastAsia="Calibri" w:hAnsi="Verdana" w:cs="Arial"/>
                <w:sz w:val="16"/>
                <w:szCs w:val="16"/>
              </w:rPr>
              <w:t>NOKUT</w:t>
            </w:r>
          </w:p>
        </w:tc>
      </w:tr>
      <w:tr w14:paraId="1A743E92" w14:textId="77777777" w:rsidTr="00327F8D">
        <w:tblPrEx>
          <w:tblW w:w="0" w:type="auto"/>
          <w:tblLook w:val="04A0"/>
        </w:tblPrEx>
        <w:tc>
          <w:tcPr>
            <w:tcW w:w="6204" w:type="dxa"/>
            <w:shd w:val="clear" w:color="auto" w:fill="auto"/>
          </w:tcPr>
          <w:p w:rsidR="006419E3" w:rsidRPr="00327F8D" w:rsidP="00327F8D" w14:paraId="6D09A8FC" w14:textId="5A0946B6">
            <w:pPr>
              <w:spacing w:after="120"/>
              <w:jc w:val="both"/>
              <w:rPr>
                <w:rStyle w:val="normaltextrun"/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327F8D">
              <w:rPr>
                <w:rStyle w:val="normaltextrun"/>
                <w:rFonts w:ascii="Verdana" w:eastAsia="Calibri" w:hAnsi="Verdana" w:cs="Arial"/>
                <w:sz w:val="16"/>
                <w:szCs w:val="16"/>
              </w:rPr>
              <w:t>Maritime utdanninger</w:t>
            </w:r>
            <w:r w:rsidRPr="00327F8D" w:rsidR="000830A2">
              <w:rPr>
                <w:rStyle w:val="normaltextrun"/>
                <w:rFonts w:ascii="Verdana" w:eastAsia="Calibri" w:hAnsi="Verdana" w:cs="Arial"/>
                <w:sz w:val="16"/>
                <w:szCs w:val="16"/>
              </w:rPr>
              <w:t>:</w:t>
            </w:r>
          </w:p>
        </w:tc>
        <w:tc>
          <w:tcPr>
            <w:tcW w:w="3007" w:type="dxa"/>
            <w:shd w:val="clear" w:color="auto" w:fill="auto"/>
          </w:tcPr>
          <w:p w:rsidR="006419E3" w:rsidRPr="00327F8D" w:rsidP="00327F8D" w14:paraId="01EED59B" w14:textId="77777777">
            <w:pPr>
              <w:spacing w:after="120"/>
              <w:jc w:val="center"/>
              <w:rPr>
                <w:rStyle w:val="normaltextrun"/>
                <w:rFonts w:ascii="Verdana" w:eastAsia="Calibri" w:hAnsi="Verdana" w:cs="Arial"/>
                <w:sz w:val="16"/>
                <w:szCs w:val="16"/>
              </w:rPr>
            </w:pPr>
            <w:r w:rsidRPr="00327F8D">
              <w:rPr>
                <w:rStyle w:val="normaltextrun"/>
                <w:rFonts w:ascii="Verdana" w:eastAsia="Calibri" w:hAnsi="Verdana" w:cs="Arial"/>
                <w:sz w:val="16"/>
                <w:szCs w:val="16"/>
              </w:rPr>
              <w:t>NOKUT</w:t>
            </w:r>
          </w:p>
          <w:p w:rsidR="006419E3" w:rsidRPr="00327F8D" w:rsidP="00327F8D" w14:paraId="26A4C708" w14:textId="71CDDAD6">
            <w:pPr>
              <w:spacing w:after="120"/>
              <w:jc w:val="center"/>
              <w:rPr>
                <w:rStyle w:val="normaltextrun"/>
                <w:rFonts w:ascii="Verdana" w:eastAsia="Calibri" w:hAnsi="Verdana" w:cs="Arial"/>
                <w:sz w:val="16"/>
                <w:szCs w:val="16"/>
              </w:rPr>
            </w:pPr>
            <w:r w:rsidRPr="00327F8D">
              <w:rPr>
                <w:rStyle w:val="normaltextrun"/>
                <w:rFonts w:ascii="Verdana" w:eastAsia="Calibri" w:hAnsi="Verdana" w:cs="Arial"/>
                <w:sz w:val="16"/>
                <w:szCs w:val="16"/>
              </w:rPr>
              <w:t>Sjøfartsdirektoratet</w:t>
            </w:r>
            <w:r w:rsidRPr="00327F8D" w:rsidR="000830A2">
              <w:rPr>
                <w:rStyle w:val="normaltextrun"/>
                <w:rFonts w:ascii="Verdana" w:eastAsia="Calibri" w:hAnsi="Verdana" w:cs="Arial"/>
                <w:sz w:val="16"/>
                <w:szCs w:val="16"/>
              </w:rPr>
              <w:t xml:space="preserve"> (SDIR)</w:t>
            </w:r>
          </w:p>
        </w:tc>
      </w:tr>
    </w:tbl>
    <w:p w:rsidR="006419E3" w:rsidRPr="00392454" w:rsidP="006419E3" w14:paraId="5EEBFE8C" w14:textId="4D502E82">
      <w:pPr>
        <w:pStyle w:val="Caption"/>
        <w:rPr>
          <w:rStyle w:val="normaltextrun"/>
          <w:rFonts w:ascii="Verdana" w:hAnsi="Verdana"/>
          <w:sz w:val="18"/>
          <w:szCs w:val="18"/>
        </w:rPr>
      </w:pPr>
      <w:bookmarkStart w:id="3" w:name="_Ref104805746"/>
      <w:r w:rsidRPr="00392454">
        <w:rPr>
          <w:rFonts w:ascii="Verdana" w:hAnsi="Verdana"/>
          <w:sz w:val="18"/>
          <w:szCs w:val="18"/>
        </w:rPr>
        <w:t>Tabell</w:t>
      </w:r>
      <w:r w:rsidRPr="00392454" w:rsidR="000830A2">
        <w:rPr>
          <w:rFonts w:ascii="Verdana" w:hAnsi="Verdana"/>
          <w:sz w:val="18"/>
          <w:szCs w:val="18"/>
        </w:rPr>
        <w:t xml:space="preserve"> </w:t>
      </w:r>
      <w:r w:rsidRPr="00392454">
        <w:rPr>
          <w:rFonts w:ascii="Verdana" w:hAnsi="Verdana"/>
          <w:sz w:val="18"/>
          <w:szCs w:val="18"/>
        </w:rPr>
        <w:fldChar w:fldCharType="begin"/>
      </w:r>
      <w:r w:rsidRPr="00392454">
        <w:rPr>
          <w:rFonts w:ascii="Verdana" w:hAnsi="Verdana"/>
          <w:sz w:val="18"/>
          <w:szCs w:val="18"/>
        </w:rPr>
        <w:instrText xml:space="preserve"> SEQ Tabell \* ARABIC </w:instrText>
      </w:r>
      <w:r w:rsidRPr="00392454">
        <w:rPr>
          <w:rFonts w:ascii="Verdana" w:hAnsi="Verdana"/>
          <w:sz w:val="18"/>
          <w:szCs w:val="18"/>
        </w:rPr>
        <w:fldChar w:fldCharType="separate"/>
      </w:r>
      <w:r w:rsidRPr="00392454">
        <w:rPr>
          <w:rFonts w:ascii="Verdana" w:hAnsi="Verdana"/>
          <w:sz w:val="18"/>
          <w:szCs w:val="18"/>
        </w:rPr>
        <w:t>1</w:t>
      </w:r>
      <w:r w:rsidRPr="00392454">
        <w:rPr>
          <w:rFonts w:ascii="Verdana" w:hAnsi="Verdana"/>
          <w:noProof/>
          <w:sz w:val="18"/>
          <w:szCs w:val="18"/>
        </w:rPr>
        <w:fldChar w:fldCharType="end"/>
      </w:r>
      <w:bookmarkEnd w:id="3"/>
      <w:r w:rsidRPr="00392454">
        <w:rPr>
          <w:rFonts w:ascii="Verdana" w:hAnsi="Verdana"/>
          <w:sz w:val="18"/>
          <w:szCs w:val="18"/>
        </w:rPr>
        <w:t>: Endr</w:t>
      </w:r>
      <w:r w:rsidRPr="00392454" w:rsidR="00930CC1">
        <w:rPr>
          <w:rFonts w:ascii="Verdana" w:hAnsi="Verdana"/>
          <w:sz w:val="18"/>
          <w:szCs w:val="18"/>
        </w:rPr>
        <w:t xml:space="preserve">inger i </w:t>
      </w:r>
      <w:r w:rsidRPr="00392454" w:rsidR="000830A2">
        <w:rPr>
          <w:rFonts w:ascii="Verdana" w:hAnsi="Verdana"/>
          <w:sz w:val="18"/>
          <w:szCs w:val="18"/>
        </w:rPr>
        <w:t xml:space="preserve">akkrediterte og sertifiserte </w:t>
      </w:r>
      <w:r w:rsidRPr="00392454" w:rsidR="00930CC1">
        <w:rPr>
          <w:rFonts w:ascii="Verdana" w:hAnsi="Verdana"/>
          <w:sz w:val="18"/>
          <w:szCs w:val="18"/>
        </w:rPr>
        <w:t>studietilbud og mottaker av endringsmelding.</w:t>
      </w:r>
    </w:p>
    <w:p w:rsidR="00AF413B" w:rsidRPr="00392454" w:rsidP="00307338" w14:paraId="548C16FB" w14:textId="29FBF19B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</w:p>
    <w:p w:rsidR="00930CC1" w:rsidRPr="00392454" w:rsidP="00307338" w14:paraId="41709E4D" w14:textId="20DEDAB1">
      <w:pPr>
        <w:spacing w:after="120"/>
        <w:jc w:val="both"/>
        <w:rPr>
          <w:rStyle w:val="normaltextrun"/>
          <w:rFonts w:ascii="Verdana" w:eastAsia="Calibri" w:hAnsi="Verdana" w:cs="Arial"/>
          <w:b/>
          <w:bCs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b/>
          <w:bCs/>
          <w:sz w:val="18"/>
          <w:szCs w:val="18"/>
        </w:rPr>
        <w:t>2.1.5.4 Gyldighet</w:t>
      </w:r>
    </w:p>
    <w:p w:rsidR="000830A2" w:rsidRPr="00392454" w:rsidP="00307338" w14:paraId="1D515204" w14:textId="77777777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 xml:space="preserve">Gyldig versjon av manual, prosedyrer, rutiner og skjema er de som til enhver tid ligger på kvalitetsportalen. </w:t>
      </w:r>
    </w:p>
    <w:p w:rsidR="00930CC1" w:rsidRPr="00392454" w:rsidP="00307338" w14:paraId="20787F1C" w14:textId="22792B31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  <w:r w:rsidRPr="00392454">
        <w:rPr>
          <w:rStyle w:val="normaltextrun"/>
          <w:rFonts w:ascii="Verdana" w:eastAsia="Calibri" w:hAnsi="Verdana" w:cs="Arial"/>
          <w:sz w:val="18"/>
          <w:szCs w:val="18"/>
        </w:rPr>
        <w:t>Ansatte og studenter ved THYF har leserrettigheter, mens endringer</w:t>
      </w:r>
      <w:r w:rsidR="001749A0">
        <w:rPr>
          <w:rStyle w:val="normaltextrun"/>
          <w:rFonts w:ascii="Verdana" w:eastAsia="Calibri" w:hAnsi="Verdana" w:cs="Arial"/>
          <w:sz w:val="18"/>
          <w:szCs w:val="18"/>
        </w:rPr>
        <w:t xml:space="preserve"> og godkjenning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 xml:space="preserve"> gjøres av kvalitetsansvarlig </w:t>
      </w:r>
      <w:r w:rsidR="00C922D3">
        <w:rPr>
          <w:rStyle w:val="normaltextrun"/>
          <w:rFonts w:ascii="Verdana" w:eastAsia="Calibri" w:hAnsi="Verdana" w:cs="Arial"/>
          <w:sz w:val="18"/>
          <w:szCs w:val="18"/>
        </w:rPr>
        <w:t xml:space="preserve">eller stedfortreder til kvalitetsansvarlig </w:t>
      </w:r>
      <w:r w:rsidR="001749A0">
        <w:rPr>
          <w:rStyle w:val="normaltextrun"/>
          <w:rFonts w:ascii="Verdana" w:eastAsia="Calibri" w:hAnsi="Verdana" w:cs="Arial"/>
          <w:sz w:val="18"/>
          <w:szCs w:val="18"/>
        </w:rPr>
        <w:t>i</w:t>
      </w:r>
      <w:r w:rsidRPr="00392454">
        <w:rPr>
          <w:rStyle w:val="normaltextrun"/>
          <w:rFonts w:ascii="Verdana" w:eastAsia="Calibri" w:hAnsi="Verdana" w:cs="Arial"/>
          <w:sz w:val="18"/>
          <w:szCs w:val="18"/>
        </w:rPr>
        <w:t xml:space="preserve"> samråd med administrativ leder (rektor). Dette betyr at dokumenter som ligger på kvalitetsportalen er godkjent av ledelsen til enhver tid.</w:t>
      </w:r>
    </w:p>
    <w:p w:rsidR="00930CC1" w:rsidRPr="00392454" w:rsidP="00307338" w14:paraId="7554E596" w14:textId="54F8A76C">
      <w:pPr>
        <w:spacing w:after="120"/>
        <w:jc w:val="both"/>
        <w:rPr>
          <w:rStyle w:val="normaltextrun"/>
          <w:rFonts w:ascii="Verdana" w:eastAsia="Calibri" w:hAnsi="Verdana" w:cs="Arial"/>
          <w:sz w:val="18"/>
          <w:szCs w:val="18"/>
        </w:rPr>
      </w:pPr>
    </w:p>
    <w:p w:rsidR="00307338" w:rsidRPr="00904D6B" w:rsidP="00904D6B" w14:paraId="6E9FED9B" w14:textId="6B2475F5">
      <w:pPr>
        <w:pStyle w:val="Heading2"/>
      </w:pPr>
      <w:r w:rsidRPr="00904D6B">
        <w:rPr>
          <w:rStyle w:val="normaltextrun"/>
        </w:rPr>
        <w:t xml:space="preserve">2.1.6 </w:t>
      </w:r>
      <w:r w:rsidRPr="00904D6B" w:rsidR="00E625DD">
        <w:rPr>
          <w:rStyle w:val="normaltextrun"/>
        </w:rPr>
        <w:t>Ledelsesrepresentasjon</w:t>
      </w:r>
      <w:r w:rsidRPr="00904D6B" w:rsidR="00E625DD">
        <w:rPr>
          <w:rStyle w:val="eop"/>
        </w:rPr>
        <w:t> </w:t>
      </w:r>
    </w:p>
    <w:p w:rsidR="00307338" w:rsidRPr="00392454" w:rsidP="00307338" w14:paraId="086B45F4" w14:textId="2F12EC65">
      <w:pPr>
        <w:pStyle w:val="paragraph"/>
        <w:spacing w:beforeAutospacing="0" w:afterAutospacing="0"/>
        <w:jc w:val="both"/>
        <w:textAlignment w:val="baseline"/>
        <w:rPr>
          <w:rStyle w:val="normaltextrun"/>
          <w:rFonts w:ascii="Verdana" w:hAnsi="Verdana"/>
          <w:sz w:val="18"/>
          <w:szCs w:val="18"/>
        </w:rPr>
      </w:pPr>
      <w:r>
        <w:rPr>
          <w:rStyle w:val="normaltextrun"/>
          <w:rFonts w:ascii="Verdana" w:hAnsi="Verdana"/>
          <w:sz w:val="18"/>
          <w:szCs w:val="18"/>
        </w:rPr>
        <w:t xml:space="preserve">Ved THYF er sentral kvalitetsansvarlig utpekt </w:t>
      </w:r>
      <w:r w:rsidRPr="00392454">
        <w:rPr>
          <w:rStyle w:val="normaltextrun"/>
          <w:rFonts w:ascii="Verdana" w:hAnsi="Verdana"/>
          <w:sz w:val="18"/>
          <w:szCs w:val="18"/>
        </w:rPr>
        <w:t>av rektor</w:t>
      </w:r>
      <w:r>
        <w:rPr>
          <w:rStyle w:val="normaltextrun"/>
          <w:rFonts w:ascii="Verdana" w:hAnsi="Verdana"/>
          <w:sz w:val="18"/>
          <w:szCs w:val="18"/>
        </w:rPr>
        <w:t xml:space="preserve"> som ledelsens representant, o</w:t>
      </w:r>
      <w:r>
        <w:rPr>
          <w:rStyle w:val="normaltextrun"/>
          <w:rFonts w:ascii="Verdana" w:hAnsi="Verdana"/>
          <w:sz w:val="18"/>
          <w:szCs w:val="18"/>
        </w:rPr>
        <w:t xml:space="preserve">g inngår i skolens ledergruppe. </w:t>
      </w:r>
      <w:r w:rsidR="0000371A">
        <w:rPr>
          <w:rStyle w:val="normaltextrun"/>
          <w:rFonts w:ascii="Verdana" w:hAnsi="Verdana"/>
          <w:sz w:val="18"/>
          <w:szCs w:val="18"/>
        </w:rPr>
        <w:t>Ledelsens representant</w:t>
      </w:r>
      <w:r w:rsidRPr="00392454" w:rsidR="00E625DD">
        <w:rPr>
          <w:rStyle w:val="normaltextrun"/>
          <w:rFonts w:ascii="Verdana" w:hAnsi="Verdana"/>
          <w:sz w:val="18"/>
          <w:szCs w:val="18"/>
        </w:rPr>
        <w:t xml:space="preserve"> ha</w:t>
      </w:r>
      <w:r w:rsidR="0000371A">
        <w:rPr>
          <w:rStyle w:val="normaltextrun"/>
          <w:rFonts w:ascii="Verdana" w:hAnsi="Verdana"/>
          <w:sz w:val="18"/>
          <w:szCs w:val="18"/>
        </w:rPr>
        <w:t>r</w:t>
      </w:r>
      <w:r w:rsidRPr="00392454" w:rsidR="00E625DD">
        <w:rPr>
          <w:rStyle w:val="normaltextrun"/>
          <w:rFonts w:ascii="Verdana" w:hAnsi="Verdana"/>
          <w:sz w:val="18"/>
          <w:szCs w:val="18"/>
        </w:rPr>
        <w:t xml:space="preserve"> myndighet og ansvar for:</w:t>
      </w:r>
    </w:p>
    <w:p w:rsidR="0000371A" w:rsidRPr="0000371A" w:rsidP="0000371A" w14:paraId="187EC760" w14:textId="77777777">
      <w:pPr>
        <w:pStyle w:val="paragraph"/>
        <w:numPr>
          <w:ilvl w:val="0"/>
          <w:numId w:val="1"/>
        </w:numPr>
        <w:spacing w:beforeAutospacing="0" w:afterAutospacing="0"/>
        <w:ind w:left="709" w:hanging="425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>Sikre at nødvendige prosesser for å etablere, iverksette og opprettholde et kvalitetsledelsessystem (KS-system) blir satt i verk.</w:t>
      </w:r>
      <w:r w:rsidRPr="0000371A">
        <w:t xml:space="preserve"> </w:t>
      </w:r>
    </w:p>
    <w:p w:rsidR="0000371A" w:rsidRPr="0000371A" w:rsidP="0000371A" w14:paraId="3B51CAB7" w14:textId="77777777">
      <w:pPr>
        <w:pStyle w:val="paragraph"/>
        <w:numPr>
          <w:ilvl w:val="0"/>
          <w:numId w:val="1"/>
        </w:numPr>
        <w:spacing w:beforeAutospacing="0" w:afterAutospacing="0"/>
        <w:ind w:left="709" w:hanging="425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00371A">
        <w:rPr>
          <w:rStyle w:val="normaltextrun"/>
          <w:rFonts w:ascii="Verdana" w:hAnsi="Verdana"/>
          <w:sz w:val="18"/>
          <w:szCs w:val="18"/>
        </w:rPr>
        <w:t>Sikre at resultater fra THYFs KS-system r</w:t>
      </w:r>
      <w:r w:rsidRPr="0000371A">
        <w:rPr>
          <w:rStyle w:val="normaltextrun"/>
          <w:rFonts w:ascii="Verdana" w:hAnsi="Verdana"/>
          <w:sz w:val="18"/>
          <w:szCs w:val="18"/>
        </w:rPr>
        <w:t>apporteres som grunnlag for forbedringer av KS-systemet</w:t>
      </w:r>
      <w:r>
        <w:rPr>
          <w:rStyle w:val="normaltextrun"/>
          <w:rFonts w:ascii="Verdana" w:hAnsi="Verdana"/>
          <w:sz w:val="18"/>
          <w:szCs w:val="18"/>
        </w:rPr>
        <w:t>.</w:t>
      </w:r>
      <w:r w:rsidRPr="0000371A">
        <w:t xml:space="preserve"> </w:t>
      </w:r>
    </w:p>
    <w:p w:rsidR="00307338" w:rsidRPr="0000371A" w:rsidP="00307338" w14:paraId="7F4D8C43" w14:textId="0462BB30">
      <w:pPr>
        <w:pStyle w:val="paragraph"/>
        <w:numPr>
          <w:ilvl w:val="0"/>
          <w:numId w:val="1"/>
        </w:numPr>
        <w:spacing w:beforeAutospacing="0" w:afterAutospacing="0"/>
        <w:ind w:left="709" w:hanging="425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00371A">
        <w:rPr>
          <w:rStyle w:val="normaltextrun"/>
          <w:rFonts w:ascii="Verdana" w:hAnsi="Verdana"/>
          <w:sz w:val="18"/>
          <w:szCs w:val="18"/>
        </w:rPr>
        <w:t xml:space="preserve">Sikre og fremme bevissthet rundt behov og forventninger fra studenter og andre interesseparter innenfor </w:t>
      </w:r>
      <w:r w:rsidR="00A90D51">
        <w:rPr>
          <w:rStyle w:val="normaltextrun"/>
          <w:rFonts w:ascii="Verdana" w:hAnsi="Verdana"/>
          <w:sz w:val="18"/>
          <w:szCs w:val="18"/>
        </w:rPr>
        <w:t xml:space="preserve">og utenfor </w:t>
      </w:r>
      <w:r w:rsidRPr="0000371A">
        <w:rPr>
          <w:rStyle w:val="normaltextrun"/>
          <w:rFonts w:ascii="Verdana" w:hAnsi="Verdana"/>
          <w:sz w:val="18"/>
          <w:szCs w:val="18"/>
        </w:rPr>
        <w:t>organisasjonen.</w:t>
      </w:r>
    </w:p>
    <w:p w:rsidR="0000371A" w:rsidP="00307338" w14:paraId="55AC6CD5" w14:textId="77777777">
      <w:pPr>
        <w:pStyle w:val="paragraph"/>
        <w:spacing w:beforeAutospacing="0" w:afterAutospacing="0"/>
        <w:jc w:val="both"/>
        <w:textAlignment w:val="baseline"/>
        <w:rPr>
          <w:rStyle w:val="normaltextrun"/>
          <w:rFonts w:ascii="Verdana" w:hAnsi="Verdana"/>
          <w:sz w:val="18"/>
          <w:szCs w:val="18"/>
        </w:rPr>
      </w:pPr>
    </w:p>
    <w:p w:rsidR="000830A2" w:rsidP="00307338" w14:paraId="5D0AD9F4" w14:textId="5756FE43">
      <w:pPr>
        <w:pStyle w:val="paragraph"/>
        <w:spacing w:beforeAutospacing="0" w:afterAutospacing="0"/>
        <w:jc w:val="both"/>
        <w:textAlignment w:val="baseline"/>
        <w:rPr>
          <w:rStyle w:val="normaltextrun"/>
          <w:rFonts w:ascii="Verdana" w:hAnsi="Verdana"/>
          <w:sz w:val="18"/>
          <w:szCs w:val="18"/>
        </w:rPr>
      </w:pPr>
      <w:r w:rsidRPr="00392454">
        <w:rPr>
          <w:rStyle w:val="normaltextrun"/>
          <w:rFonts w:ascii="Verdana" w:hAnsi="Verdana"/>
          <w:sz w:val="18"/>
          <w:szCs w:val="18"/>
        </w:rPr>
        <w:t xml:space="preserve">Ansvaret og oppgaver knyttet til punktene over løses i samarbeid med og i dialog med rektor, administrasjon og </w:t>
      </w:r>
      <w:r w:rsidR="0000371A">
        <w:rPr>
          <w:rStyle w:val="normaltextrun"/>
          <w:rFonts w:ascii="Verdana" w:hAnsi="Verdana"/>
          <w:sz w:val="18"/>
          <w:szCs w:val="18"/>
        </w:rPr>
        <w:t>studiestedsleder</w:t>
      </w:r>
      <w:r w:rsidR="00A90D51">
        <w:rPr>
          <w:rStyle w:val="normaltextrun"/>
          <w:rFonts w:ascii="Verdana" w:hAnsi="Verdana"/>
          <w:sz w:val="18"/>
          <w:szCs w:val="18"/>
        </w:rPr>
        <w:t>ne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, samt ved å involvere </w:t>
      </w:r>
      <w:r w:rsidR="0000371A">
        <w:rPr>
          <w:rStyle w:val="normaltextrun"/>
          <w:rFonts w:ascii="Verdana" w:hAnsi="Verdana"/>
          <w:sz w:val="18"/>
          <w:szCs w:val="18"/>
        </w:rPr>
        <w:t>studiestede</w:t>
      </w:r>
      <w:r w:rsidR="00A90D51">
        <w:rPr>
          <w:rStyle w:val="normaltextrun"/>
          <w:rFonts w:ascii="Verdana" w:hAnsi="Verdana"/>
          <w:sz w:val="18"/>
          <w:szCs w:val="18"/>
        </w:rPr>
        <w:t>ne</w:t>
      </w:r>
      <w:r w:rsidR="0000371A">
        <w:rPr>
          <w:rStyle w:val="normaltextrun"/>
          <w:rFonts w:ascii="Verdana" w:hAnsi="Verdana"/>
          <w:sz w:val="18"/>
          <w:szCs w:val="18"/>
        </w:rPr>
        <w:t>s</w:t>
      </w:r>
      <w:r w:rsidRPr="00392454">
        <w:rPr>
          <w:rStyle w:val="normaltextrun"/>
          <w:rFonts w:ascii="Verdana" w:hAnsi="Verdana"/>
          <w:sz w:val="18"/>
          <w:szCs w:val="18"/>
        </w:rPr>
        <w:t xml:space="preserve"> øvrige personale.</w:t>
      </w:r>
    </w:p>
    <w:p w:rsidR="0072798C" w:rsidRPr="00392454" w:rsidP="00307338" w14:paraId="7ED8ED50" w14:textId="77777777">
      <w:pPr>
        <w:pStyle w:val="paragraph"/>
        <w:spacing w:beforeAutospacing="0" w:afterAutospacing="0"/>
        <w:jc w:val="both"/>
        <w:textAlignment w:val="baseline"/>
        <w:rPr>
          <w:rStyle w:val="normaltextrun"/>
          <w:rFonts w:ascii="Verdana" w:hAnsi="Verdana"/>
          <w:sz w:val="18"/>
          <w:szCs w:val="18"/>
        </w:rPr>
      </w:pPr>
    </w:p>
    <w:p w:rsidR="00307338" w:rsidRPr="00392454" w:rsidP="00BB626A" w14:paraId="2A33A4C7" w14:textId="784D900D">
      <w:pPr>
        <w:pStyle w:val="Heading2"/>
      </w:pPr>
      <w:r w:rsidRPr="00392454">
        <w:t>2.1.7 Ledelsens gjennomgang</w:t>
      </w:r>
    </w:p>
    <w:p w:rsidR="000066E3" w:rsidP="00307338" w14:paraId="5AA9E4F5" w14:textId="4B6FB623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THYF gjennomfører to typer av gjennomganger:</w:t>
      </w:r>
    </w:p>
    <w:p w:rsidR="003F09B9" w:rsidP="003F09B9" w14:paraId="34DE188C" w14:textId="77777777">
      <w:pPr>
        <w:numPr>
          <w:ilvl w:val="0"/>
          <w:numId w:val="8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Periodiske gjennomganger med studiestedsleder, ansatte og tillitsvalgte. Periodisk gjennomgang gjennomføres ved samtlige </w:t>
      </w:r>
      <w:r>
        <w:rPr>
          <w:rFonts w:ascii="Verdana" w:hAnsi="Verdana"/>
          <w:sz w:val="18"/>
          <w:szCs w:val="18"/>
        </w:rPr>
        <w:t xml:space="preserve">studiesteder tre ganger pr. år. </w:t>
      </w:r>
    </w:p>
    <w:p w:rsidR="000066E3" w:rsidP="000066E3" w14:paraId="6CA54778" w14:textId="19A10B25">
      <w:pPr>
        <w:numPr>
          <w:ilvl w:val="0"/>
          <w:numId w:val="8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Ledelsens gjennomgang gjennomføres årlig med ledergruppen i THYF</w:t>
      </w:r>
    </w:p>
    <w:p w:rsidR="000066E3" w:rsidP="00307338" w14:paraId="4D8FF227" w14:textId="77777777">
      <w:pPr>
        <w:spacing w:after="120"/>
        <w:jc w:val="both"/>
        <w:rPr>
          <w:rFonts w:ascii="Verdana" w:hAnsi="Verdana"/>
          <w:sz w:val="18"/>
          <w:szCs w:val="18"/>
        </w:rPr>
      </w:pPr>
    </w:p>
    <w:p w:rsidR="00666FFA" w:rsidP="00307338" w14:paraId="2AB76A85" w14:textId="20E2908B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Gjennomgang av </w:t>
      </w:r>
      <w:r w:rsidR="000066E3">
        <w:rPr>
          <w:rFonts w:ascii="Verdana" w:hAnsi="Verdana"/>
          <w:sz w:val="18"/>
          <w:szCs w:val="18"/>
        </w:rPr>
        <w:t xml:space="preserve">ledelsessystemet med jevne mellomrom </w:t>
      </w:r>
      <w:r>
        <w:rPr>
          <w:rFonts w:ascii="Verdana" w:hAnsi="Verdana"/>
          <w:sz w:val="18"/>
          <w:szCs w:val="18"/>
        </w:rPr>
        <w:t>sikrer at</w:t>
      </w:r>
      <w:r w:rsidR="000066E3">
        <w:rPr>
          <w:rFonts w:ascii="Verdana" w:hAnsi="Verdana"/>
          <w:sz w:val="18"/>
          <w:szCs w:val="18"/>
        </w:rPr>
        <w:t xml:space="preserve"> systemet </w:t>
      </w:r>
      <w:r>
        <w:rPr>
          <w:rFonts w:ascii="Verdana" w:hAnsi="Verdana"/>
          <w:sz w:val="18"/>
          <w:szCs w:val="18"/>
        </w:rPr>
        <w:t xml:space="preserve">er </w:t>
      </w:r>
      <w:r w:rsidR="000066E3">
        <w:rPr>
          <w:rFonts w:ascii="Verdana" w:hAnsi="Verdana"/>
          <w:sz w:val="18"/>
          <w:szCs w:val="18"/>
        </w:rPr>
        <w:t>egnet, tilstrekkeli</w:t>
      </w:r>
      <w:r>
        <w:rPr>
          <w:rFonts w:ascii="Verdana" w:hAnsi="Verdana"/>
          <w:sz w:val="18"/>
          <w:szCs w:val="18"/>
        </w:rPr>
        <w:t xml:space="preserve">g, effektivt med tanke på å </w:t>
      </w:r>
      <w:r w:rsidR="000066E3">
        <w:rPr>
          <w:rFonts w:ascii="Verdana" w:hAnsi="Verdana"/>
          <w:sz w:val="18"/>
          <w:szCs w:val="18"/>
        </w:rPr>
        <w:t>tilfredsstille gjeldende krav gitt i lover, forskrifter</w:t>
      </w:r>
      <w:r>
        <w:rPr>
          <w:rFonts w:ascii="Verdana" w:hAnsi="Verdana"/>
          <w:sz w:val="18"/>
          <w:szCs w:val="18"/>
        </w:rPr>
        <w:t>, strategier,</w:t>
      </w:r>
      <w:r w:rsidR="000066E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politikk og målsettinger for og organisasjonen</w:t>
      </w:r>
      <w:r w:rsidR="000066E3">
        <w:rPr>
          <w:rFonts w:ascii="Verdana" w:hAnsi="Verdana"/>
          <w:sz w:val="18"/>
          <w:szCs w:val="18"/>
        </w:rPr>
        <w:t>.</w:t>
      </w:r>
    </w:p>
    <w:p w:rsidR="00666FFA" w:rsidP="00307338" w14:paraId="37C461CA" w14:textId="18B50515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Videre sikrer gjennomgangen i tillegg muligheter for å forbedre ledelsessystemet blir vurdert og ivaretatt; og at dokumentert informasjon vedlikeholdes og at det gjennom</w:t>
      </w:r>
      <w:r>
        <w:rPr>
          <w:rFonts w:ascii="Verdana" w:hAnsi="Verdana"/>
          <w:sz w:val="18"/>
          <w:szCs w:val="18"/>
        </w:rPr>
        <w:t>føres strukturerte og grundige vurderinger som et grunnlag for handlingsplaner for utvikling av ledelsessystemet og for forbedringer av systemet.</w:t>
      </w:r>
    </w:p>
    <w:p w:rsidR="00EA62C8" w:rsidP="00307338" w14:paraId="50567768" w14:textId="0E42DC9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REF _Ref116305902 \h </w:instrText>
      </w:r>
      <w:r>
        <w:rPr>
          <w:rFonts w:ascii="Verdana" w:hAnsi="Verdana"/>
          <w:sz w:val="18"/>
          <w:szCs w:val="18"/>
        </w:rPr>
        <w:fldChar w:fldCharType="separate"/>
      </w:r>
      <w:r w:rsidRPr="00392454">
        <w:rPr>
          <w:rFonts w:ascii="Verdana" w:hAnsi="Verdana"/>
          <w:sz w:val="18"/>
          <w:szCs w:val="18"/>
        </w:rPr>
        <w:t xml:space="preserve">Figur </w:t>
      </w:r>
      <w:r w:rsidRPr="00392454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viser en fore</w:t>
      </w:r>
      <w:r>
        <w:rPr>
          <w:rFonts w:ascii="Verdana" w:hAnsi="Verdana"/>
          <w:sz w:val="18"/>
          <w:szCs w:val="18"/>
        </w:rPr>
        <w:t xml:space="preserve">nklet fremstilling av prosessen fra periodisk gjennomgang gjennomført ved studiestedene frem til gjennomføring av ledelsens gjennomgang for THYF. </w:t>
      </w:r>
      <w:r w:rsidRPr="00392454">
        <w:rPr>
          <w:rFonts w:ascii="Verdana" w:hAnsi="Verdana"/>
          <w:sz w:val="18"/>
          <w:szCs w:val="18"/>
        </w:rPr>
        <w:t xml:space="preserve">Resultatet av </w:t>
      </w:r>
      <w:r w:rsidR="00666FFA">
        <w:rPr>
          <w:rFonts w:ascii="Verdana" w:hAnsi="Verdana"/>
          <w:sz w:val="18"/>
          <w:szCs w:val="18"/>
        </w:rPr>
        <w:t xml:space="preserve">begge typer </w:t>
      </w:r>
      <w:r w:rsidRPr="00392454">
        <w:rPr>
          <w:rFonts w:ascii="Verdana" w:hAnsi="Verdana"/>
          <w:sz w:val="18"/>
          <w:szCs w:val="18"/>
        </w:rPr>
        <w:t xml:space="preserve">gjennomgang </w:t>
      </w:r>
      <w:r w:rsidRPr="00392454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skal munne ut i målsettinger</w:t>
      </w:r>
      <w:r w:rsidR="00666FFA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og handlingsplaner</w:t>
      </w:r>
      <w:r w:rsidRPr="00392454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for kommende skoleår</w:t>
      </w:r>
      <w:r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:rsidR="00FD6D61" w:rsidP="00307338" w14:paraId="2CE8A933" w14:textId="35469E3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et utarbeides to separate årsrapporter, en for kvalitet og en for økonomi. Begge</w:t>
      </w:r>
      <w:r w:rsidR="00C21A94">
        <w:rPr>
          <w:rFonts w:ascii="Verdana" w:hAnsi="Verdana"/>
          <w:sz w:val="18"/>
          <w:szCs w:val="18"/>
        </w:rPr>
        <w:t xml:space="preserve"> presenterer resultatene av gjennomgangen</w:t>
      </w:r>
      <w:r>
        <w:rPr>
          <w:rFonts w:ascii="Verdana" w:hAnsi="Verdana"/>
          <w:sz w:val="18"/>
          <w:szCs w:val="18"/>
        </w:rPr>
        <w:t xml:space="preserve"> for sine respektive tema.</w:t>
      </w:r>
      <w:r w:rsidR="00C21A9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Årsrapportene forelegges styret i THYF for behandling og godkjenning.</w:t>
      </w:r>
    </w:p>
    <w:p w:rsidR="00BB626A" w:rsidP="00307338" w14:paraId="712FC27F" w14:textId="77777777">
      <w:pPr>
        <w:spacing w:after="120"/>
        <w:jc w:val="both"/>
        <w:rPr>
          <w:rFonts w:ascii="Verdana" w:hAnsi="Verdana"/>
          <w:sz w:val="18"/>
          <w:szCs w:val="18"/>
        </w:rPr>
      </w:pPr>
    </w:p>
    <w:p w:rsidR="0072798C" w:rsidP="00307338" w14:paraId="4E03CC62" w14:textId="5A25E588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shape id="_x0000_i1028" type="#_x0000_t75" style="width:453pt;height:299.25pt">
            <v:imagedata r:id="rId9" o:title="Fra periodisk gjennomgang til ledelsens gjennomgang - forenklet skisse Webtegning"/>
          </v:shape>
        </w:pict>
      </w:r>
    </w:p>
    <w:p w:rsidR="0072798C" w:rsidRPr="00392454" w:rsidP="0072798C" w14:paraId="3CDCEACA" w14:textId="7272F994">
      <w:pPr>
        <w:pStyle w:val="Caption"/>
        <w:spacing w:after="120"/>
        <w:jc w:val="both"/>
        <w:rPr>
          <w:rFonts w:ascii="Verdana" w:hAnsi="Verdana"/>
          <w:sz w:val="18"/>
          <w:szCs w:val="18"/>
        </w:rPr>
      </w:pPr>
      <w:bookmarkStart w:id="4" w:name="_Ref116305902"/>
      <w:bookmarkStart w:id="5" w:name="_Ref116305875"/>
      <w:r w:rsidRPr="00392454">
        <w:rPr>
          <w:rFonts w:ascii="Verdana" w:hAnsi="Verdana"/>
          <w:sz w:val="18"/>
          <w:szCs w:val="18"/>
        </w:rPr>
        <w:t xml:space="preserve">Figur </w:t>
      </w:r>
      <w:r w:rsidRPr="00392454">
        <w:rPr>
          <w:rFonts w:ascii="Verdana" w:hAnsi="Verdana"/>
          <w:sz w:val="18"/>
          <w:szCs w:val="18"/>
        </w:rPr>
        <w:fldChar w:fldCharType="begin"/>
      </w:r>
      <w:r w:rsidRPr="00392454">
        <w:rPr>
          <w:rFonts w:ascii="Verdana" w:hAnsi="Verdana"/>
          <w:sz w:val="18"/>
          <w:szCs w:val="18"/>
        </w:rPr>
        <w:instrText xml:space="preserve"> SEQ Figur \* ARABIC </w:instrText>
      </w:r>
      <w:r w:rsidRPr="00392454">
        <w:rPr>
          <w:rFonts w:ascii="Verdana" w:hAnsi="Verdana"/>
          <w:sz w:val="18"/>
          <w:szCs w:val="18"/>
        </w:rPr>
        <w:fldChar w:fldCharType="separate"/>
      </w:r>
      <w:r w:rsidRPr="00392454">
        <w:rPr>
          <w:rFonts w:ascii="Verdana" w:hAnsi="Verdana"/>
          <w:sz w:val="18"/>
          <w:szCs w:val="18"/>
        </w:rPr>
        <w:t>2</w:t>
      </w:r>
      <w:r w:rsidRPr="00392454">
        <w:rPr>
          <w:rFonts w:ascii="Verdana" w:hAnsi="Verdana"/>
          <w:noProof/>
          <w:sz w:val="18"/>
          <w:szCs w:val="18"/>
        </w:rPr>
        <w:fldChar w:fldCharType="end"/>
      </w:r>
      <w:bookmarkEnd w:id="4"/>
      <w:r w:rsidRPr="00392454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Prosessen fra periodisk gjennomgang ved studiestedene til ledelsens gjennomgang ved</w:t>
      </w:r>
      <w:r w:rsidRPr="00392454">
        <w:rPr>
          <w:rFonts w:ascii="Verdana" w:hAnsi="Verdana"/>
          <w:sz w:val="18"/>
          <w:szCs w:val="18"/>
        </w:rPr>
        <w:t xml:space="preserve"> THYF</w:t>
      </w:r>
      <w:r>
        <w:rPr>
          <w:rFonts w:ascii="Verdana" w:hAnsi="Verdana"/>
          <w:sz w:val="18"/>
          <w:szCs w:val="18"/>
        </w:rPr>
        <w:t>, samt utarbeidelse av årsrapporter med tema kvalitet og økonomi og tiltaksplaner</w:t>
      </w:r>
      <w:r w:rsidRPr="00392454">
        <w:rPr>
          <w:rFonts w:ascii="Verdana" w:hAnsi="Verdana"/>
          <w:sz w:val="18"/>
          <w:szCs w:val="18"/>
        </w:rPr>
        <w:t>.</w:t>
      </w:r>
      <w:bookmarkEnd w:id="5"/>
    </w:p>
    <w:p w:rsidR="0072798C" w:rsidP="00307338" w14:paraId="7DFB0327" w14:textId="77777777">
      <w:pPr>
        <w:spacing w:after="120"/>
        <w:jc w:val="both"/>
        <w:rPr>
          <w:rFonts w:ascii="Verdana" w:hAnsi="Verdana"/>
          <w:sz w:val="18"/>
          <w:szCs w:val="18"/>
        </w:rPr>
      </w:pPr>
    </w:p>
    <w:p w:rsidR="00307338" w:rsidRPr="00392454" w:rsidP="00307338" w14:paraId="4199918E" w14:textId="4D737DB2">
      <w:pPr>
        <w:spacing w:after="120"/>
        <w:jc w:val="both"/>
        <w:rPr>
          <w:rFonts w:ascii="Verdana" w:hAnsi="Verdana"/>
          <w:sz w:val="18"/>
          <w:szCs w:val="18"/>
        </w:rPr>
      </w:pPr>
      <w:r w:rsidRPr="00392454">
        <w:rPr>
          <w:rFonts w:ascii="Verdana" w:hAnsi="Verdana"/>
          <w:sz w:val="18"/>
          <w:szCs w:val="18"/>
        </w:rPr>
        <w:t>Resultatet fra ledelsens gjennomgang skal inkludere beslu</w:t>
      </w:r>
      <w:r w:rsidRPr="00392454">
        <w:rPr>
          <w:rFonts w:ascii="Verdana" w:hAnsi="Verdana"/>
          <w:sz w:val="18"/>
          <w:szCs w:val="18"/>
        </w:rPr>
        <w:t>tninger og tiltak knyttet til</w:t>
      </w:r>
    </w:p>
    <w:p w:rsidR="00307338" w:rsidRPr="00392454" w:rsidP="006C13DE" w14:paraId="3B71CB81" w14:textId="09D5650F">
      <w:pPr>
        <w:pStyle w:val="ListParagraph"/>
        <w:numPr>
          <w:ilvl w:val="0"/>
          <w:numId w:val="11"/>
        </w:numPr>
        <w:jc w:val="both"/>
        <w:rPr>
          <w:rFonts w:ascii="Verdana" w:eastAsia="Times New Roman" w:hAnsi="Verdana" w:cs="Times New Roman"/>
          <w:sz w:val="18"/>
          <w:szCs w:val="18"/>
        </w:rPr>
      </w:pPr>
      <w:r w:rsidRPr="00392454">
        <w:rPr>
          <w:rFonts w:ascii="Verdana" w:eastAsia="Times New Roman" w:hAnsi="Verdana" w:cs="Times New Roman"/>
          <w:sz w:val="18"/>
          <w:szCs w:val="18"/>
        </w:rPr>
        <w:t>Forbedring</w:t>
      </w:r>
      <w:r>
        <w:rPr>
          <w:rFonts w:ascii="Verdana" w:eastAsia="Times New Roman" w:hAnsi="Verdana" w:cs="Times New Roman"/>
          <w:sz w:val="18"/>
          <w:szCs w:val="18"/>
        </w:rPr>
        <w:t>er</w:t>
      </w:r>
      <w:r w:rsidRPr="00392454">
        <w:rPr>
          <w:rFonts w:ascii="Verdana" w:eastAsia="Times New Roman" w:hAnsi="Verdana" w:cs="Times New Roman"/>
          <w:sz w:val="18"/>
          <w:szCs w:val="18"/>
        </w:rPr>
        <w:t xml:space="preserve"> av kvalitetsledelsessystemets effektivitet og systemets prosesser</w:t>
      </w:r>
    </w:p>
    <w:p w:rsidR="00307338" w:rsidRPr="00392454" w:rsidP="006C13DE" w14:paraId="1798E251" w14:textId="06B982A6">
      <w:pPr>
        <w:pStyle w:val="ListParagraph"/>
        <w:numPr>
          <w:ilvl w:val="0"/>
          <w:numId w:val="11"/>
        </w:numPr>
        <w:jc w:val="both"/>
        <w:rPr>
          <w:rFonts w:ascii="Verdana" w:eastAsia="Times New Roman" w:hAnsi="Verdana" w:cs="Times New Roman"/>
          <w:sz w:val="18"/>
          <w:szCs w:val="18"/>
        </w:rPr>
      </w:pPr>
      <w:r w:rsidRPr="00392454">
        <w:rPr>
          <w:rFonts w:ascii="Verdana" w:eastAsia="Times New Roman" w:hAnsi="Verdana" w:cs="Times New Roman"/>
          <w:sz w:val="18"/>
          <w:szCs w:val="18"/>
        </w:rPr>
        <w:t>Forbedring</w:t>
      </w:r>
      <w:r>
        <w:rPr>
          <w:rFonts w:ascii="Verdana" w:eastAsia="Times New Roman" w:hAnsi="Verdana" w:cs="Times New Roman"/>
          <w:sz w:val="18"/>
          <w:szCs w:val="18"/>
        </w:rPr>
        <w:t>er</w:t>
      </w:r>
      <w:r w:rsidRPr="00392454">
        <w:rPr>
          <w:rFonts w:ascii="Verdana" w:eastAsia="Times New Roman" w:hAnsi="Verdana" w:cs="Times New Roman"/>
          <w:sz w:val="18"/>
          <w:szCs w:val="18"/>
        </w:rPr>
        <w:t xml:space="preserve"> av undervisning, læreplan, utstyr og installasjoner relatert til studenter og vedtatte </w:t>
      </w:r>
      <w:r>
        <w:rPr>
          <w:rFonts w:ascii="Verdana" w:eastAsia="Times New Roman" w:hAnsi="Verdana" w:cs="Times New Roman"/>
          <w:sz w:val="18"/>
          <w:szCs w:val="18"/>
        </w:rPr>
        <w:t>lov</w:t>
      </w:r>
      <w:r w:rsidRPr="00392454">
        <w:rPr>
          <w:rFonts w:ascii="Verdana" w:eastAsia="Times New Roman" w:hAnsi="Verdana" w:cs="Times New Roman"/>
          <w:sz w:val="18"/>
          <w:szCs w:val="18"/>
        </w:rPr>
        <w:t>krav</w:t>
      </w:r>
      <w:r>
        <w:rPr>
          <w:rFonts w:ascii="Verdana" w:eastAsia="Times New Roman" w:hAnsi="Verdana" w:cs="Times New Roman"/>
          <w:sz w:val="18"/>
          <w:szCs w:val="18"/>
        </w:rPr>
        <w:t>/tillatelser</w:t>
      </w:r>
    </w:p>
    <w:p w:rsidR="00307338" w:rsidRPr="00392454" w:rsidP="006C13DE" w14:paraId="5F2EF7B8" w14:textId="2B795162">
      <w:pPr>
        <w:pStyle w:val="ListParagraph"/>
        <w:numPr>
          <w:ilvl w:val="0"/>
          <w:numId w:val="11"/>
        </w:numPr>
        <w:jc w:val="both"/>
        <w:rPr>
          <w:rFonts w:ascii="Verdana" w:eastAsia="Times New Roman" w:hAnsi="Verdana" w:cs="Times New Roman"/>
          <w:sz w:val="18"/>
          <w:szCs w:val="18"/>
        </w:rPr>
      </w:pPr>
      <w:r w:rsidRPr="00392454">
        <w:rPr>
          <w:rFonts w:ascii="Verdana" w:eastAsia="Times New Roman" w:hAnsi="Verdana" w:cs="Times New Roman"/>
          <w:sz w:val="18"/>
          <w:szCs w:val="18"/>
        </w:rPr>
        <w:t>Redu</w:t>
      </w:r>
      <w:r>
        <w:rPr>
          <w:rFonts w:ascii="Verdana" w:eastAsia="Times New Roman" w:hAnsi="Verdana" w:cs="Times New Roman"/>
          <w:sz w:val="18"/>
          <w:szCs w:val="18"/>
        </w:rPr>
        <w:t>ksjon av</w:t>
      </w:r>
      <w:r w:rsidRPr="00392454">
        <w:rPr>
          <w:rFonts w:ascii="Verdana" w:eastAsia="Times New Roman" w:hAnsi="Verdana" w:cs="Times New Roman"/>
          <w:sz w:val="18"/>
          <w:szCs w:val="18"/>
        </w:rPr>
        <w:t xml:space="preserve"> risiko relater</w:t>
      </w:r>
      <w:r w:rsidRPr="00392454">
        <w:rPr>
          <w:rFonts w:ascii="Verdana" w:eastAsia="Times New Roman" w:hAnsi="Verdana" w:cs="Times New Roman"/>
          <w:sz w:val="18"/>
          <w:szCs w:val="18"/>
        </w:rPr>
        <w:t>t til helse, miljø og sikkerhet</w:t>
      </w:r>
    </w:p>
    <w:p w:rsidR="00307338" w:rsidRPr="00392454" w:rsidP="006C13DE" w14:paraId="27E233D3" w14:textId="77777777">
      <w:pPr>
        <w:pStyle w:val="ListParagraph"/>
        <w:numPr>
          <w:ilvl w:val="0"/>
          <w:numId w:val="11"/>
        </w:numPr>
        <w:jc w:val="both"/>
        <w:rPr>
          <w:rFonts w:ascii="Verdana" w:eastAsia="Times New Roman" w:hAnsi="Verdana" w:cs="Times New Roman"/>
          <w:sz w:val="18"/>
          <w:szCs w:val="18"/>
        </w:rPr>
      </w:pPr>
      <w:r w:rsidRPr="00392454">
        <w:rPr>
          <w:rFonts w:ascii="Verdana" w:eastAsia="Times New Roman" w:hAnsi="Verdana" w:cs="Times New Roman"/>
          <w:sz w:val="18"/>
          <w:szCs w:val="18"/>
        </w:rPr>
        <w:t>Ressursbehov</w:t>
      </w:r>
    </w:p>
    <w:p w:rsidR="00307338" w:rsidP="00307338" w14:paraId="2BEAE14C" w14:textId="1E64F6E3">
      <w:pPr>
        <w:spacing w:after="120"/>
        <w:jc w:val="both"/>
        <w:rPr>
          <w:rFonts w:ascii="Verdana" w:hAnsi="Verdana"/>
          <w:sz w:val="18"/>
          <w:szCs w:val="18"/>
        </w:rPr>
      </w:pPr>
    </w:p>
    <w:p w:rsidR="00307338" w:rsidRPr="00392454" w:rsidP="00BB626A" w14:paraId="14C45C86" w14:textId="5ED9E652">
      <w:pPr>
        <w:pStyle w:val="Heading2"/>
        <w:rPr>
          <w:rFonts w:eastAsia="Calibri"/>
        </w:rPr>
      </w:pPr>
      <w:r w:rsidRPr="00392454">
        <w:rPr>
          <w:rFonts w:eastAsia="Calibri"/>
        </w:rPr>
        <w:t>2.1.8 Interne revisjoner</w:t>
      </w:r>
    </w:p>
    <w:p w:rsidR="00307338" w:rsidRPr="00392454" w:rsidP="00307338" w14:paraId="4C1E2E16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392454">
        <w:rPr>
          <w:rFonts w:ascii="Verdana" w:eastAsia="Calibri" w:hAnsi="Verdana" w:cs="Arial"/>
          <w:sz w:val="18"/>
          <w:szCs w:val="18"/>
        </w:rPr>
        <w:t xml:space="preserve">THYF skal gjennomføre interne revisjoner hvert år for å kontrollere gjennomføringen av styringssystemet, og for å bestemme kvalitetssystemets virkningsgrad. Kontrollen vil blant </w:t>
      </w:r>
      <w:r w:rsidRPr="00392454">
        <w:rPr>
          <w:rFonts w:ascii="Verdana" w:eastAsia="Calibri" w:hAnsi="Verdana" w:cs="Arial"/>
          <w:sz w:val="18"/>
          <w:szCs w:val="18"/>
        </w:rPr>
        <w:t>annet omfatte bekreftelser på at organisasjonens målsettinger for utdanningsprogram og kurs oppnås, og for å fastslå om det må gjennomføres korrigeringer hvis man ikke når fastsatte målsettinger. I tillegg skal interne revisjoner bidra til kontinuerlig for</w:t>
      </w:r>
      <w:r w:rsidRPr="00392454">
        <w:rPr>
          <w:rFonts w:ascii="Verdana" w:eastAsia="Calibri" w:hAnsi="Verdana" w:cs="Arial"/>
          <w:sz w:val="18"/>
          <w:szCs w:val="18"/>
        </w:rPr>
        <w:t>bedring av kvalitetssystemets virkningsgrad.</w:t>
      </w:r>
    </w:p>
    <w:p w:rsidR="00307338" w:rsidRPr="00392454" w:rsidP="00307338" w14:paraId="3CDADEAE" w14:textId="6737D1B1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392454">
        <w:rPr>
          <w:rFonts w:ascii="Verdana" w:eastAsia="Calibri" w:hAnsi="Verdana" w:cs="Arial"/>
          <w:sz w:val="18"/>
          <w:szCs w:val="18"/>
        </w:rPr>
        <w:t>Det er laget en revisjonsplan som gjelder for minst 3 år av gangen. Planen revideres ved utløpet av det tredje året. Revisjonen skal gjennomføres av kvalifisert personell. Registreringer fra den interne revisjon</w:t>
      </w:r>
      <w:r w:rsidRPr="00392454">
        <w:rPr>
          <w:rFonts w:ascii="Verdana" w:eastAsia="Calibri" w:hAnsi="Verdana" w:cs="Arial"/>
          <w:sz w:val="18"/>
          <w:szCs w:val="18"/>
        </w:rPr>
        <w:t>en oppbevares som dokumentert informasjon.</w:t>
      </w:r>
    </w:p>
    <w:p w:rsidR="000830A2" w:rsidRPr="00392454" w:rsidP="00307338" w14:paraId="63747440" w14:textId="059CAC3F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</w:p>
    <w:p w:rsidR="00307338" w:rsidRPr="00392454" w:rsidP="00BB626A" w14:paraId="3D561FF5" w14:textId="2A3278CD">
      <w:pPr>
        <w:pStyle w:val="Heading2"/>
        <w:rPr>
          <w:rFonts w:eastAsia="Calibri"/>
        </w:rPr>
      </w:pPr>
      <w:r w:rsidRPr="00392454">
        <w:rPr>
          <w:rFonts w:eastAsia="Calibri"/>
        </w:rPr>
        <w:t xml:space="preserve">2.1.9 </w:t>
      </w:r>
      <w:r w:rsidR="00BA231C">
        <w:rPr>
          <w:rFonts w:eastAsia="Calibri"/>
        </w:rPr>
        <w:t>Forbedrings- og meldesystemer ved THYF</w:t>
      </w:r>
    </w:p>
    <w:p w:rsidR="00491C67" w:rsidP="00F92B27" w14:paraId="4D591D0C" w14:textId="0F3DB6AB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THYF skal arbeide for kontinuerlig å forbedre effektiviteten av kvalitetsledelsessystemet gjennom aktiv bruk av kvalitetspolitikk, målsettinger, revisjonsresultater, a</w:t>
      </w:r>
      <w:r>
        <w:rPr>
          <w:rFonts w:ascii="Verdana" w:eastAsia="Calibri" w:hAnsi="Verdana" w:cs="Arial"/>
          <w:sz w:val="18"/>
          <w:szCs w:val="18"/>
        </w:rPr>
        <w:t>nalyser av innsamlede data, gjennomføring av korrigerende og forebyggende tiltak, ledelsens gjennomganger.</w:t>
      </w:r>
    </w:p>
    <w:p w:rsidR="009C7DB0" w:rsidP="00F92B27" w14:paraId="0E493DDB" w14:textId="60D8F020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Av den grunn </w:t>
      </w:r>
      <w:r w:rsidR="00042EB2">
        <w:rPr>
          <w:rFonts w:ascii="Verdana" w:eastAsia="Calibri" w:hAnsi="Verdana" w:cs="Arial"/>
          <w:sz w:val="18"/>
          <w:szCs w:val="18"/>
        </w:rPr>
        <w:t xml:space="preserve">har </w:t>
      </w:r>
      <w:r>
        <w:rPr>
          <w:rFonts w:ascii="Verdana" w:eastAsia="Calibri" w:hAnsi="Verdana" w:cs="Arial"/>
          <w:sz w:val="18"/>
          <w:szCs w:val="18"/>
        </w:rPr>
        <w:t xml:space="preserve">THYF </w:t>
      </w:r>
      <w:r w:rsidR="00042EB2">
        <w:rPr>
          <w:rFonts w:ascii="Verdana" w:eastAsia="Calibri" w:hAnsi="Verdana" w:cs="Arial"/>
          <w:sz w:val="18"/>
          <w:szCs w:val="18"/>
        </w:rPr>
        <w:t>etablert rutiner og prosesser for</w:t>
      </w:r>
      <w:r w:rsidRPr="00392454" w:rsidR="00E625DD">
        <w:rPr>
          <w:rFonts w:ascii="Verdana" w:eastAsia="Calibri" w:hAnsi="Verdana" w:cs="Arial"/>
          <w:sz w:val="18"/>
          <w:szCs w:val="18"/>
        </w:rPr>
        <w:t xml:space="preserve"> </w:t>
      </w:r>
      <w:r w:rsidR="00042EB2">
        <w:rPr>
          <w:rFonts w:ascii="Verdana" w:eastAsia="Calibri" w:hAnsi="Verdana" w:cs="Arial"/>
          <w:sz w:val="18"/>
          <w:szCs w:val="18"/>
        </w:rPr>
        <w:t xml:space="preserve">melding av </w:t>
      </w:r>
      <w:r w:rsidRPr="00392454" w:rsidR="00E625DD">
        <w:rPr>
          <w:rFonts w:ascii="Verdana" w:eastAsia="Calibri" w:hAnsi="Verdana" w:cs="Arial"/>
          <w:sz w:val="18"/>
          <w:szCs w:val="18"/>
        </w:rPr>
        <w:t>forbedringsforslag</w:t>
      </w:r>
      <w:r w:rsidR="00042EB2">
        <w:rPr>
          <w:rFonts w:ascii="Verdana" w:eastAsia="Calibri" w:hAnsi="Verdana" w:cs="Arial"/>
          <w:sz w:val="18"/>
          <w:szCs w:val="18"/>
        </w:rPr>
        <w:t xml:space="preserve"> og hendelser</w:t>
      </w:r>
      <w:r>
        <w:rPr>
          <w:rStyle w:val="FootnoteReference"/>
          <w:rFonts w:ascii="Verdana" w:eastAsia="Calibri" w:hAnsi="Verdana" w:cs="Arial"/>
          <w:sz w:val="18"/>
          <w:szCs w:val="18"/>
        </w:rPr>
        <w:footnoteReference w:id="3"/>
      </w:r>
      <w:r w:rsidR="00042EB2">
        <w:rPr>
          <w:rFonts w:ascii="Verdana" w:eastAsia="Calibri" w:hAnsi="Verdana" w:cs="Arial"/>
          <w:sz w:val="18"/>
          <w:szCs w:val="18"/>
        </w:rPr>
        <w:t>,</w:t>
      </w:r>
      <w:r w:rsidRPr="00392454" w:rsidR="00E625DD">
        <w:rPr>
          <w:rFonts w:ascii="Verdana" w:eastAsia="Calibri" w:hAnsi="Verdana" w:cs="Arial"/>
          <w:sz w:val="18"/>
          <w:szCs w:val="18"/>
        </w:rPr>
        <w:t xml:space="preserve"> klager</w:t>
      </w:r>
      <w:r>
        <w:rPr>
          <w:rStyle w:val="FootnoteReference"/>
          <w:rFonts w:ascii="Verdana" w:eastAsia="Calibri" w:hAnsi="Verdana" w:cs="Arial"/>
          <w:sz w:val="18"/>
          <w:szCs w:val="18"/>
        </w:rPr>
        <w:footnoteReference w:id="4"/>
      </w:r>
      <w:r w:rsidRPr="00392454" w:rsidR="00E625DD">
        <w:rPr>
          <w:rFonts w:ascii="Verdana" w:eastAsia="Calibri" w:hAnsi="Verdana" w:cs="Arial"/>
          <w:sz w:val="18"/>
          <w:szCs w:val="18"/>
        </w:rPr>
        <w:t xml:space="preserve"> </w:t>
      </w:r>
      <w:r w:rsidR="00042EB2">
        <w:rPr>
          <w:rFonts w:ascii="Verdana" w:eastAsia="Calibri" w:hAnsi="Verdana" w:cs="Arial"/>
          <w:sz w:val="18"/>
          <w:szCs w:val="18"/>
        </w:rPr>
        <w:t>og varsling av kritikkverdige forhold</w:t>
      </w:r>
      <w:r>
        <w:rPr>
          <w:rStyle w:val="FootnoteReference"/>
          <w:rFonts w:ascii="Verdana" w:eastAsia="Calibri" w:hAnsi="Verdana" w:cs="Arial"/>
          <w:sz w:val="18"/>
          <w:szCs w:val="18"/>
        </w:rPr>
        <w:footnoteReference w:id="5"/>
      </w:r>
      <w:r w:rsidR="00042EB2">
        <w:rPr>
          <w:rFonts w:ascii="Verdana" w:eastAsia="Calibri" w:hAnsi="Verdana" w:cs="Arial"/>
          <w:sz w:val="18"/>
          <w:szCs w:val="18"/>
        </w:rPr>
        <w:t xml:space="preserve">. </w:t>
      </w:r>
      <w:r w:rsidR="00BA231C">
        <w:rPr>
          <w:rFonts w:ascii="Verdana" w:eastAsia="Calibri" w:hAnsi="Verdana" w:cs="Arial"/>
          <w:sz w:val="18"/>
          <w:szCs w:val="18"/>
        </w:rPr>
        <w:t xml:space="preserve">I praksis benyttes tre ulike meldesystemer </w:t>
      </w:r>
      <w:r w:rsidR="009F4228">
        <w:rPr>
          <w:rFonts w:ascii="Verdana" w:eastAsia="Calibri" w:hAnsi="Verdana" w:cs="Arial"/>
          <w:sz w:val="18"/>
          <w:szCs w:val="18"/>
        </w:rPr>
        <w:t>ved THYF og Trøndelag fylkeskommune.</w:t>
      </w:r>
      <w:r w:rsidR="00BA231C">
        <w:rPr>
          <w:rFonts w:ascii="Verdana" w:eastAsia="Calibri" w:hAnsi="Verdana" w:cs="Arial"/>
          <w:sz w:val="18"/>
          <w:szCs w:val="18"/>
        </w:rPr>
        <w:t xml:space="preserve"> </w:t>
      </w:r>
      <w:r w:rsidR="009F4228">
        <w:rPr>
          <w:rFonts w:ascii="Verdana" w:eastAsia="Calibri" w:hAnsi="Verdana" w:cs="Arial"/>
          <w:sz w:val="18"/>
          <w:szCs w:val="18"/>
        </w:rPr>
        <w:t>Hovedprosesser knyttet til meldesystemene</w:t>
      </w:r>
      <w:r w:rsidR="00042EB2">
        <w:rPr>
          <w:rFonts w:ascii="Verdana" w:eastAsia="Calibri" w:hAnsi="Verdana" w:cs="Arial"/>
          <w:sz w:val="18"/>
          <w:szCs w:val="18"/>
        </w:rPr>
        <w:t xml:space="preserve"> </w:t>
      </w:r>
      <w:r w:rsidRPr="00392454" w:rsidR="00E625DD">
        <w:rPr>
          <w:rFonts w:ascii="Verdana" w:eastAsia="Calibri" w:hAnsi="Verdana" w:cs="Arial"/>
          <w:sz w:val="18"/>
          <w:szCs w:val="18"/>
        </w:rPr>
        <w:t xml:space="preserve">er </w:t>
      </w:r>
      <w:r w:rsidR="00BA231C">
        <w:rPr>
          <w:rFonts w:ascii="Verdana" w:eastAsia="Calibri" w:hAnsi="Verdana" w:cs="Arial"/>
          <w:sz w:val="18"/>
          <w:szCs w:val="18"/>
        </w:rPr>
        <w:t>vis</w:t>
      </w:r>
      <w:r w:rsidRPr="00392454" w:rsidR="00E625DD">
        <w:rPr>
          <w:rFonts w:ascii="Verdana" w:eastAsia="Calibri" w:hAnsi="Verdana" w:cs="Arial"/>
          <w:sz w:val="18"/>
          <w:szCs w:val="18"/>
        </w:rPr>
        <w:t xml:space="preserve">t i </w:t>
      </w:r>
      <w:r w:rsidRPr="00392454" w:rsidR="00E625DD">
        <w:rPr>
          <w:rFonts w:ascii="Verdana" w:eastAsia="Calibri" w:hAnsi="Verdana" w:cs="Arial"/>
          <w:sz w:val="18"/>
          <w:szCs w:val="18"/>
        </w:rPr>
        <w:fldChar w:fldCharType="begin"/>
      </w:r>
      <w:r w:rsidRPr="00392454" w:rsidR="00E625DD">
        <w:rPr>
          <w:rFonts w:ascii="Verdana" w:eastAsia="Calibri" w:hAnsi="Verdana" w:cs="Arial"/>
          <w:sz w:val="18"/>
          <w:szCs w:val="18"/>
        </w:rPr>
        <w:instrText xml:space="preserve"> REF  _Ref101769474 \* Lower \h </w:instrText>
      </w:r>
      <w:r w:rsidRPr="00392454" w:rsidR="00392454">
        <w:rPr>
          <w:rFonts w:ascii="Verdana" w:eastAsia="Calibri" w:hAnsi="Verdana" w:cs="Arial"/>
          <w:sz w:val="18"/>
          <w:szCs w:val="18"/>
        </w:rPr>
        <w:instrText xml:space="preserve"> \* MERGEFORMAT </w:instrText>
      </w:r>
      <w:r w:rsidRPr="00392454" w:rsidR="00E625DD">
        <w:rPr>
          <w:rFonts w:ascii="Verdana" w:eastAsia="Calibri" w:hAnsi="Verdana" w:cs="Arial"/>
          <w:sz w:val="18"/>
          <w:szCs w:val="18"/>
        </w:rPr>
        <w:fldChar w:fldCharType="separate"/>
      </w:r>
      <w:r w:rsidRPr="00BD0114" w:rsidR="00042EB2">
        <w:rPr>
          <w:rFonts w:ascii="Verdana" w:eastAsia="Calibri" w:hAnsi="Verdana" w:cs="Arial"/>
          <w:sz w:val="18"/>
          <w:szCs w:val="18"/>
        </w:rPr>
        <w:t>figur 3</w:t>
      </w:r>
      <w:r w:rsidRPr="00392454" w:rsidR="00E625DD">
        <w:rPr>
          <w:rFonts w:ascii="Verdana" w:eastAsia="Calibri" w:hAnsi="Verdana" w:cs="Arial"/>
          <w:sz w:val="18"/>
          <w:szCs w:val="18"/>
        </w:rPr>
        <w:fldChar w:fldCharType="end"/>
      </w:r>
      <w:r w:rsidRPr="00392454" w:rsidR="00E625DD">
        <w:rPr>
          <w:rFonts w:ascii="Verdana" w:eastAsia="Calibri" w:hAnsi="Verdana" w:cs="Arial"/>
          <w:sz w:val="18"/>
          <w:szCs w:val="18"/>
        </w:rPr>
        <w:t>.</w:t>
      </w:r>
    </w:p>
    <w:p w:rsidR="00A266E6" w:rsidRPr="00392454" w:rsidP="00F92B27" w14:paraId="1C6C6C88" w14:textId="7AE36892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pict>
          <v:shape id="_x0000_i1029" type="#_x0000_t75" style="width:453pt;height:180.75pt">
            <v:imagedata r:id="rId10" o:title="DNV-2"/>
          </v:shape>
        </w:pict>
      </w:r>
    </w:p>
    <w:p w:rsidR="00307338" w:rsidP="00307338" w14:paraId="69097DBE" w14:textId="06F0A989">
      <w:pPr>
        <w:pStyle w:val="Caption"/>
        <w:spacing w:after="120"/>
        <w:jc w:val="both"/>
        <w:rPr>
          <w:rFonts w:ascii="Verdana" w:hAnsi="Verdana"/>
          <w:sz w:val="18"/>
          <w:szCs w:val="18"/>
        </w:rPr>
      </w:pPr>
      <w:bookmarkStart w:id="6" w:name="_Ref101769474"/>
      <w:r w:rsidRPr="00392454">
        <w:rPr>
          <w:rFonts w:ascii="Verdana" w:hAnsi="Verdana"/>
          <w:sz w:val="18"/>
          <w:szCs w:val="18"/>
        </w:rPr>
        <w:t xml:space="preserve">Figur </w:t>
      </w:r>
      <w:r w:rsidRPr="00392454">
        <w:rPr>
          <w:rFonts w:ascii="Verdana" w:hAnsi="Verdana"/>
          <w:sz w:val="18"/>
          <w:szCs w:val="18"/>
        </w:rPr>
        <w:fldChar w:fldCharType="begin"/>
      </w:r>
      <w:r w:rsidRPr="00392454">
        <w:rPr>
          <w:rFonts w:ascii="Verdana" w:hAnsi="Verdana"/>
          <w:sz w:val="18"/>
          <w:szCs w:val="18"/>
        </w:rPr>
        <w:instrText xml:space="preserve"> SEQ Figur \* ARABIC </w:instrText>
      </w:r>
      <w:r w:rsidRPr="00392454">
        <w:rPr>
          <w:rFonts w:ascii="Verdana" w:hAnsi="Verdana"/>
          <w:sz w:val="18"/>
          <w:szCs w:val="18"/>
        </w:rPr>
        <w:fldChar w:fldCharType="separate"/>
      </w:r>
      <w:r w:rsidRPr="00392454">
        <w:rPr>
          <w:rFonts w:ascii="Verdana" w:hAnsi="Verdana"/>
          <w:sz w:val="18"/>
          <w:szCs w:val="18"/>
        </w:rPr>
        <w:t>3</w:t>
      </w:r>
      <w:r w:rsidRPr="00392454">
        <w:rPr>
          <w:rFonts w:ascii="Verdana" w:hAnsi="Verdana"/>
          <w:noProof/>
          <w:sz w:val="18"/>
          <w:szCs w:val="18"/>
        </w:rPr>
        <w:fldChar w:fldCharType="end"/>
      </w:r>
      <w:bookmarkEnd w:id="6"/>
      <w:r w:rsidRPr="00392454">
        <w:rPr>
          <w:rFonts w:ascii="Verdana" w:hAnsi="Verdana"/>
          <w:sz w:val="18"/>
          <w:szCs w:val="18"/>
        </w:rPr>
        <w:t xml:space="preserve">: </w:t>
      </w:r>
      <w:r w:rsidR="00FF61E9">
        <w:rPr>
          <w:rFonts w:ascii="Verdana" w:hAnsi="Verdana"/>
          <w:sz w:val="18"/>
          <w:szCs w:val="18"/>
        </w:rPr>
        <w:t>Hovedprosesser for</w:t>
      </w:r>
      <w:r w:rsidRPr="00392454">
        <w:rPr>
          <w:rFonts w:ascii="Verdana" w:hAnsi="Verdana"/>
          <w:sz w:val="18"/>
          <w:szCs w:val="18"/>
        </w:rPr>
        <w:t xml:space="preserve"> motta</w:t>
      </w:r>
      <w:r w:rsidR="00FF61E9">
        <w:rPr>
          <w:rFonts w:ascii="Verdana" w:hAnsi="Verdana"/>
          <w:sz w:val="18"/>
          <w:szCs w:val="18"/>
        </w:rPr>
        <w:t>k</w:t>
      </w:r>
      <w:r w:rsidRPr="00392454">
        <w:rPr>
          <w:rFonts w:ascii="Verdana" w:hAnsi="Verdana"/>
          <w:sz w:val="18"/>
          <w:szCs w:val="18"/>
        </w:rPr>
        <w:t xml:space="preserve"> </w:t>
      </w:r>
      <w:r w:rsidR="00FF61E9">
        <w:rPr>
          <w:rFonts w:ascii="Verdana" w:hAnsi="Verdana"/>
          <w:sz w:val="18"/>
          <w:szCs w:val="18"/>
        </w:rPr>
        <w:t xml:space="preserve">av </w:t>
      </w:r>
      <w:r w:rsidRPr="00392454">
        <w:rPr>
          <w:rFonts w:ascii="Verdana" w:hAnsi="Verdana"/>
          <w:sz w:val="18"/>
          <w:szCs w:val="18"/>
        </w:rPr>
        <w:t xml:space="preserve">meldinger </w:t>
      </w:r>
      <w:r w:rsidR="00FF61E9">
        <w:rPr>
          <w:rFonts w:ascii="Verdana" w:hAnsi="Verdana"/>
          <w:sz w:val="18"/>
          <w:szCs w:val="18"/>
        </w:rPr>
        <w:t xml:space="preserve">om hendelser, forbedringsforslag, klager og kritikkverdige forhold </w:t>
      </w:r>
      <w:r w:rsidRPr="00392454">
        <w:rPr>
          <w:rFonts w:ascii="Verdana" w:hAnsi="Verdana"/>
          <w:sz w:val="18"/>
          <w:szCs w:val="18"/>
        </w:rPr>
        <w:t>fra studenter og ansatte ved THYF, samt eksterne interesseparter.</w:t>
      </w:r>
    </w:p>
    <w:p w:rsidR="009C7DB0" w:rsidP="009C7DB0" w14:paraId="5F461A85" w14:textId="4B210899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</w:p>
    <w:p w:rsidR="009C7DB0" w:rsidP="009C7DB0" w14:paraId="1CDFA688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Formålet med meldesystemene er å sikre at man får inn bidrag til forbedring av kvalitetsledelsessystemet ved THYF, og gjen</w:t>
      </w:r>
      <w:r>
        <w:rPr>
          <w:rFonts w:ascii="Verdana" w:eastAsia="Calibri" w:hAnsi="Verdana" w:cs="Arial"/>
          <w:sz w:val="18"/>
          <w:szCs w:val="18"/>
        </w:rPr>
        <w:t xml:space="preserve">nom forbedringsaktiviteter å sikre samsvar med krav til kontinuerlig forbedring etter standarden DNVGL-ST-0029. Dette omfatter også bidrag i form avvik og observasjoner som blir registrert under revisjoner av ledelsessystemet ved THYF. Slike funn </w:t>
      </w:r>
      <w:r w:rsidRPr="00385164">
        <w:rPr>
          <w:rFonts w:ascii="Verdana" w:eastAsia="Calibri" w:hAnsi="Verdana" w:cs="Arial"/>
          <w:sz w:val="18"/>
          <w:szCs w:val="18"/>
          <w:u w:val="single"/>
        </w:rPr>
        <w:t>skal</w:t>
      </w:r>
      <w:r>
        <w:rPr>
          <w:rFonts w:ascii="Verdana" w:eastAsia="Calibri" w:hAnsi="Verdana" w:cs="Arial"/>
          <w:sz w:val="18"/>
          <w:szCs w:val="18"/>
        </w:rPr>
        <w:t xml:space="preserve"> meld</w:t>
      </w:r>
      <w:r>
        <w:rPr>
          <w:rFonts w:ascii="Verdana" w:eastAsia="Calibri" w:hAnsi="Verdana" w:cs="Arial"/>
          <w:sz w:val="18"/>
          <w:szCs w:val="18"/>
        </w:rPr>
        <w:t>es inn og behandles i forbedrings- og meldesystemet til THYF på lik linje med hendelser meldt inn av ansatte.</w:t>
      </w:r>
    </w:p>
    <w:p w:rsidR="009C7DB0" w:rsidP="009C7DB0" w14:paraId="4C68B304" w14:textId="4F76BB46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Forbedrings- og meldesystemet er tilgjengelig </w:t>
      </w:r>
      <w:r w:rsidRPr="00392454">
        <w:rPr>
          <w:rFonts w:ascii="Verdana" w:eastAsia="Calibri" w:hAnsi="Verdana" w:cs="Arial"/>
          <w:sz w:val="18"/>
          <w:szCs w:val="18"/>
        </w:rPr>
        <w:t>via digitalt</w:t>
      </w:r>
      <w:r>
        <w:rPr>
          <w:rFonts w:ascii="Verdana" w:eastAsia="Calibri" w:hAnsi="Verdana" w:cs="Arial"/>
          <w:sz w:val="18"/>
          <w:szCs w:val="18"/>
        </w:rPr>
        <w:t xml:space="preserve"> portaler for ansatte og studenter ved THYF. Varsling av kritikkverdige forhold skjer gj</w:t>
      </w:r>
      <w:r>
        <w:rPr>
          <w:rFonts w:ascii="Verdana" w:eastAsia="Calibri" w:hAnsi="Verdana" w:cs="Arial"/>
          <w:sz w:val="18"/>
          <w:szCs w:val="18"/>
        </w:rPr>
        <w:t>ennom egen varslingsportal tilgjengelig for ansatte på Trøndelag fylkeskommunes intranett. Studenter som ønsker å klage på vedtak kan kontakte eget studiested for å levere formell klage.</w:t>
      </w:r>
    </w:p>
    <w:p w:rsidR="00740C48" w:rsidP="009C7DB0" w14:paraId="18FB48AB" w14:textId="755628BA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2813B0">
        <w:rPr>
          <w:rFonts w:ascii="Verdana" w:eastAsia="Calibri" w:hAnsi="Verdana" w:cs="Arial"/>
          <w:b/>
          <w:bCs/>
          <w:i/>
          <w:iCs/>
          <w:sz w:val="18"/>
          <w:szCs w:val="18"/>
        </w:rPr>
        <w:t>OBS!</w:t>
      </w:r>
      <w:r w:rsidRPr="002813B0">
        <w:rPr>
          <w:rFonts w:ascii="Verdana" w:eastAsia="Calibri" w:hAnsi="Verdana" w:cs="Arial"/>
          <w:i/>
          <w:iCs/>
          <w:sz w:val="18"/>
          <w:szCs w:val="18"/>
        </w:rPr>
        <w:t xml:space="preserve"> Varsling av </w:t>
      </w:r>
      <w:r>
        <w:rPr>
          <w:rFonts w:ascii="Verdana" w:eastAsia="Calibri" w:hAnsi="Verdana" w:cs="Arial"/>
          <w:i/>
          <w:iCs/>
          <w:sz w:val="18"/>
          <w:szCs w:val="18"/>
        </w:rPr>
        <w:t>kritikkverdige</w:t>
      </w:r>
      <w:r w:rsidRPr="002813B0">
        <w:rPr>
          <w:rFonts w:ascii="Verdana" w:eastAsia="Calibri" w:hAnsi="Verdana" w:cs="Arial"/>
          <w:i/>
          <w:iCs/>
          <w:sz w:val="18"/>
          <w:szCs w:val="18"/>
        </w:rPr>
        <w:t xml:space="preserve"> forhold skal </w:t>
      </w:r>
      <w:r w:rsidRPr="00FF61E9">
        <w:rPr>
          <w:rFonts w:ascii="Verdana" w:eastAsia="Calibri" w:hAnsi="Verdana" w:cs="Arial"/>
          <w:i/>
          <w:iCs/>
          <w:sz w:val="18"/>
          <w:szCs w:val="18"/>
          <w:u w:val="single"/>
        </w:rPr>
        <w:t>ikke</w:t>
      </w:r>
      <w:r w:rsidRPr="002813B0">
        <w:rPr>
          <w:rFonts w:ascii="Verdana" w:eastAsia="Calibri" w:hAnsi="Verdana" w:cs="Arial"/>
          <w:i/>
          <w:iCs/>
          <w:sz w:val="18"/>
          <w:szCs w:val="18"/>
        </w:rPr>
        <w:t xml:space="preserve"> </w:t>
      </w:r>
      <w:r>
        <w:rPr>
          <w:rFonts w:ascii="Verdana" w:eastAsia="Calibri" w:hAnsi="Verdana" w:cs="Arial"/>
          <w:i/>
          <w:iCs/>
          <w:sz w:val="18"/>
          <w:szCs w:val="18"/>
        </w:rPr>
        <w:t xml:space="preserve">meldes og </w:t>
      </w:r>
      <w:r w:rsidRPr="002813B0">
        <w:rPr>
          <w:rFonts w:ascii="Verdana" w:eastAsia="Calibri" w:hAnsi="Verdana" w:cs="Arial"/>
          <w:i/>
          <w:iCs/>
          <w:sz w:val="18"/>
          <w:szCs w:val="18"/>
        </w:rPr>
        <w:t>behandles i forbedrings- og meldesystemet til THYF.</w:t>
      </w:r>
    </w:p>
    <w:p w:rsidR="009C7DB0" w:rsidP="009C7DB0" w14:paraId="67A888AD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Egen prosedyre beskriver innmelding av saker til systemene beskrevet over. Saksbehandling er beskrevet i samme prosedyre. Det er gitt en generell og kortfattet beskrivelse i teksten under.</w:t>
      </w:r>
    </w:p>
    <w:p w:rsidR="009C7DB0" w:rsidP="0090240C" w14:paraId="573FFA0D" w14:textId="77777777">
      <w:pPr>
        <w:rPr>
          <w:lang w:eastAsia="en-US"/>
        </w:rPr>
      </w:pPr>
    </w:p>
    <w:p w:rsidR="00307338" w:rsidRPr="00392454" w:rsidP="00BB626A" w14:paraId="1D8150C2" w14:textId="65A465C7">
      <w:pPr>
        <w:pStyle w:val="Heading2"/>
        <w:rPr>
          <w:rFonts w:eastAsia="Calibri"/>
        </w:rPr>
      </w:pPr>
      <w:r w:rsidRPr="00392454">
        <w:rPr>
          <w:rFonts w:eastAsia="Calibri"/>
        </w:rPr>
        <w:t>2.1.</w:t>
      </w:r>
      <w:r w:rsidRPr="00392454">
        <w:rPr>
          <w:rFonts w:eastAsia="Calibri"/>
        </w:rPr>
        <w:t>10 Kommunikasjon</w:t>
      </w:r>
    </w:p>
    <w:p w:rsidR="00307338" w:rsidRPr="00392454" w:rsidP="00307338" w14:paraId="0503E82A" w14:textId="41B86DF1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392454">
        <w:rPr>
          <w:rFonts w:ascii="Verdana" w:eastAsia="Calibri" w:hAnsi="Verdana" w:cs="Arial"/>
          <w:sz w:val="18"/>
          <w:szCs w:val="18"/>
        </w:rPr>
        <w:t xml:space="preserve">THYF skal sikre at hensiktsmessige kommunikasjonskanaler etableres innenfor organisasjonen og at kommunikasjon som gjelder effektiviteten av kvalitetsledelsessystemet er på plass. </w:t>
      </w:r>
      <w:r w:rsidRPr="00392454">
        <w:rPr>
          <w:rFonts w:ascii="Verdana" w:eastAsia="Calibri" w:hAnsi="Verdana" w:cs="Arial"/>
          <w:sz w:val="18"/>
          <w:szCs w:val="18"/>
        </w:rPr>
        <w:fldChar w:fldCharType="begin"/>
      </w:r>
      <w:r w:rsidRPr="00392454">
        <w:rPr>
          <w:rFonts w:ascii="Verdana" w:eastAsia="Calibri" w:hAnsi="Verdana" w:cs="Arial"/>
          <w:sz w:val="18"/>
          <w:szCs w:val="18"/>
        </w:rPr>
        <w:instrText xml:space="preserve"> REF _Ref103079634 \h </w:instrText>
      </w:r>
      <w:r w:rsidRPr="00392454" w:rsidR="00392454">
        <w:rPr>
          <w:rFonts w:ascii="Verdana" w:eastAsia="Calibri" w:hAnsi="Verdana" w:cs="Arial"/>
          <w:sz w:val="18"/>
          <w:szCs w:val="18"/>
        </w:rPr>
        <w:instrText xml:space="preserve"> \* MERGEFORMAT </w:instrText>
      </w:r>
      <w:r w:rsidRPr="00392454">
        <w:rPr>
          <w:rFonts w:ascii="Verdana" w:eastAsia="Calibri" w:hAnsi="Verdana" w:cs="Arial"/>
          <w:sz w:val="18"/>
          <w:szCs w:val="18"/>
        </w:rPr>
        <w:fldChar w:fldCharType="separate"/>
      </w:r>
      <w:r w:rsidRPr="00392454">
        <w:rPr>
          <w:rFonts w:ascii="Verdana" w:hAnsi="Verdana"/>
          <w:sz w:val="18"/>
          <w:szCs w:val="18"/>
        </w:rPr>
        <w:t>Figur 2.4</w:t>
      </w:r>
      <w:r w:rsidRPr="00392454">
        <w:rPr>
          <w:rFonts w:ascii="Verdana" w:eastAsia="Calibri" w:hAnsi="Verdana" w:cs="Arial"/>
          <w:sz w:val="18"/>
          <w:szCs w:val="18"/>
        </w:rPr>
        <w:fldChar w:fldCharType="end"/>
      </w:r>
      <w:r w:rsidRPr="00392454">
        <w:rPr>
          <w:rFonts w:ascii="Verdana" w:eastAsia="Calibri" w:hAnsi="Verdana" w:cs="Arial"/>
          <w:sz w:val="18"/>
          <w:szCs w:val="18"/>
        </w:rPr>
        <w:t xml:space="preserve"> viser anvendte kommunikasjonskanaler for henholdsvis studenter, ansatte og eksterne.</w:t>
      </w:r>
    </w:p>
    <w:p w:rsidR="00307338" w:rsidRPr="00392454" w:rsidP="00307338" w14:paraId="01EE43E4" w14:textId="012FA4E6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pict>
          <v:shape id="_x0000_i1030" type="#_x0000_t75" style="width:452.25pt;height:444.75pt">
            <v:imagedata r:id="rId11" o:title=""/>
          </v:shape>
        </w:pict>
      </w:r>
    </w:p>
    <w:p w:rsidR="00307338" w:rsidRPr="00392454" w:rsidP="00307338" w14:paraId="2CAF30E2" w14:textId="440CB330">
      <w:pPr>
        <w:pStyle w:val="Caption"/>
        <w:spacing w:after="120"/>
        <w:jc w:val="both"/>
        <w:rPr>
          <w:rFonts w:ascii="Verdana" w:hAnsi="Verdana"/>
          <w:sz w:val="18"/>
          <w:szCs w:val="18"/>
        </w:rPr>
      </w:pPr>
      <w:bookmarkStart w:id="7" w:name="_Ref103079634"/>
      <w:r w:rsidRPr="00392454">
        <w:rPr>
          <w:rFonts w:ascii="Verdana" w:hAnsi="Verdana"/>
          <w:sz w:val="18"/>
          <w:szCs w:val="18"/>
        </w:rPr>
        <w:t>Figur 2.</w:t>
      </w:r>
      <w:r w:rsidRPr="00392454">
        <w:rPr>
          <w:rFonts w:ascii="Verdana" w:hAnsi="Verdana"/>
          <w:sz w:val="18"/>
          <w:szCs w:val="18"/>
        </w:rPr>
        <w:fldChar w:fldCharType="begin"/>
      </w:r>
      <w:r w:rsidRPr="00392454">
        <w:rPr>
          <w:rFonts w:ascii="Verdana" w:hAnsi="Verdana"/>
          <w:sz w:val="18"/>
          <w:szCs w:val="18"/>
        </w:rPr>
        <w:instrText xml:space="preserve"> SEQ Figur \* ARABIC </w:instrText>
      </w:r>
      <w:r w:rsidRPr="00392454">
        <w:rPr>
          <w:rFonts w:ascii="Verdana" w:hAnsi="Verdana"/>
          <w:sz w:val="18"/>
          <w:szCs w:val="18"/>
        </w:rPr>
        <w:fldChar w:fldCharType="separate"/>
      </w:r>
      <w:r w:rsidRPr="00392454">
        <w:rPr>
          <w:rFonts w:ascii="Verdana" w:hAnsi="Verdana"/>
          <w:sz w:val="18"/>
          <w:szCs w:val="18"/>
        </w:rPr>
        <w:t>4</w:t>
      </w:r>
      <w:r w:rsidRPr="00392454">
        <w:rPr>
          <w:rFonts w:ascii="Verdana" w:hAnsi="Verdana"/>
          <w:noProof/>
          <w:sz w:val="18"/>
          <w:szCs w:val="18"/>
        </w:rPr>
        <w:fldChar w:fldCharType="end"/>
      </w:r>
      <w:bookmarkEnd w:id="7"/>
      <w:r w:rsidRPr="00392454">
        <w:rPr>
          <w:rFonts w:ascii="Verdana" w:hAnsi="Verdana"/>
          <w:sz w:val="18"/>
          <w:szCs w:val="18"/>
        </w:rPr>
        <w:t>: Kommunikasjonskanaler ved THYF.</w:t>
      </w:r>
    </w:p>
    <w:p w:rsidR="001C0FFA" w:rsidRPr="00392454" w14:paraId="745AAFD7" w14:textId="77777777">
      <w:pPr>
        <w:rPr>
          <w:rFonts w:ascii="Verdana" w:hAnsi="Verdana"/>
          <w:sz w:val="18"/>
          <w:szCs w:val="18"/>
        </w:rPr>
      </w:pPr>
    </w:p>
    <w:p w:rsidR="001C0FFA" w:rsidRPr="00392454" w:rsidP="00156FD2" w14:paraId="745AAFD9" w14:textId="1504DD7E">
      <w:pPr>
        <w:spacing w:after="120"/>
        <w:rPr>
          <w:rFonts w:ascii="Verdana" w:hAnsi="Verdana"/>
          <w:b/>
          <w:bCs/>
          <w:color w:val="808080"/>
          <w:sz w:val="18"/>
          <w:szCs w:val="18"/>
        </w:rPr>
      </w:pPr>
      <w:r w:rsidRPr="00392454">
        <w:rPr>
          <w:rFonts w:ascii="Verdana" w:hAnsi="Verdana"/>
          <w:b/>
          <w:bCs/>
          <w:sz w:val="18"/>
          <w:szCs w:val="18"/>
        </w:rPr>
        <w:br w:type="page"/>
      </w:r>
      <w:r w:rsidRPr="00392454">
        <w:rPr>
          <w:rFonts w:ascii="Verdana" w:hAnsi="Verdana"/>
          <w:b/>
          <w:bCs/>
          <w:sz w:val="18"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2"/>
        <w:gridCol w:w="265"/>
      </w:tblGrid>
      <w:tr w14:paraId="7FC9955B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56FD2" w:rsidRPr="00392454" w:rsidP="00156FD2" w14:paraId="468D13F2" w14:textId="5CDB0A31">
            <w:pPr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392454">
              <w:rPr>
                <w:rStyle w:val="normaltextrun"/>
                <w:rFonts w:ascii="Verdana" w:eastAsia="Calibri" w:hAnsi="Verdana" w:cs="Arial"/>
                <w:sz w:val="18"/>
                <w:szCs w:val="18"/>
              </w:rPr>
              <w:t>Kvalitetsmanual, kapittel 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56FD2" w:rsidRPr="00392454" w:rsidP="00156FD2" w14:paraId="2D430954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tr w14:paraId="081D75BC" w14:textId="77777777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738A" w:rsidRPr="00392454" w:rsidP="0094738A" w14:paraId="3B32C243" w14:textId="67ACB400">
            <w:pPr>
              <w:jc w:val="both"/>
              <w:rPr>
                <w:rStyle w:val="normaltextrun"/>
                <w:rFonts w:ascii="Verdana" w:hAnsi="Verdana"/>
                <w:sz w:val="18"/>
                <w:szCs w:val="18"/>
              </w:rPr>
            </w:pPr>
            <w:bookmarkStart w:id="8" w:name="EK_Referanse"/>
            <w:r w:rsidRPr="00392454">
              <w:rPr>
                <w:rFonts w:ascii="Verdana" w:hAnsi="Verdana"/>
                <w:sz w:val="18"/>
                <w:szCs w:val="18"/>
              </w:rPr>
              <w:t>PRO-2.1.3.1 Årsmelding og målprosess for THYF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738A" w:rsidRPr="00392454" w:rsidP="00156FD2" w14:paraId="25534F7F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tr w14:paraId="23A73A99" w14:textId="77777777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56FD2" w:rsidRPr="00392454" w:rsidP="00156FD2" w14:paraId="185A447E" w14:textId="76565722">
            <w:pPr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392454">
              <w:rPr>
                <w:rStyle w:val="normaltextrun"/>
                <w:rFonts w:ascii="Verdana" w:eastAsia="Calibri" w:hAnsi="Verdana" w:cs="Arial"/>
                <w:sz w:val="18"/>
                <w:szCs w:val="18"/>
              </w:rPr>
              <w:t>PRO.2.1.4.1 Stillingsbeskrivelser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56FD2" w:rsidRPr="00392454" w:rsidP="00156FD2" w14:paraId="5A0241E8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tr w14:paraId="3038B0AF" w14:textId="77777777" w:rsidTr="00581A45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581A45" w14:paraId="7A6C477D" w14:textId="77777777">
            <w:pPr>
              <w:ind w:left="709"/>
              <w:jc w:val="both"/>
              <w:rPr>
                <w:rStyle w:val="normaltextrun"/>
                <w:rFonts w:ascii="Verdana" w:eastAsia="Calibri" w:hAnsi="Verdana" w:cs="Arial"/>
                <w:sz w:val="18"/>
                <w:szCs w:val="18"/>
              </w:rPr>
            </w:pPr>
            <w:r w:rsidRPr="00392454">
              <w:rPr>
                <w:rStyle w:val="normaltextrun"/>
                <w:rFonts w:ascii="Verdana" w:eastAsia="Calibri" w:hAnsi="Verdana" w:cs="Arial"/>
                <w:sz w:val="18"/>
                <w:szCs w:val="18"/>
              </w:rPr>
              <w:t>Stillingsbeskrivelse for ledelsens representant (avdelingsleder)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E90EC7" w14:paraId="26FF6E56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tr w14:paraId="40A2F252" w14:textId="77777777" w:rsidTr="00581A45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E90EC7" w14:paraId="56E01904" w14:textId="10A26EE1">
            <w:pPr>
              <w:jc w:val="both"/>
              <w:rPr>
                <w:rStyle w:val="normaltextrun"/>
                <w:rFonts w:ascii="Verdana" w:eastAsia="Calibri" w:hAnsi="Verdana" w:cs="Arial"/>
                <w:sz w:val="18"/>
                <w:szCs w:val="18"/>
              </w:rPr>
            </w:pPr>
            <w:r w:rsidRPr="00392454">
              <w:rPr>
                <w:rStyle w:val="normaltextrun"/>
                <w:rFonts w:ascii="Verdana" w:eastAsia="Calibri" w:hAnsi="Verdana" w:cs="Arial"/>
                <w:sz w:val="18"/>
                <w:szCs w:val="18"/>
              </w:rPr>
              <w:t>PRO.2.1.4.2 Risikoer og eksterne faktorer (jfr. YN/TRH)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E90EC7" w14:paraId="6E2C9D7F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tr w14:paraId="20E742BF" w14:textId="77777777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C63C1" w:rsidRPr="00392454" w:rsidP="00581A45" w14:paraId="68A7838E" w14:textId="7AD6EAA7">
            <w:pPr>
              <w:jc w:val="both"/>
              <w:rPr>
                <w:rStyle w:val="normaltextrun"/>
                <w:rFonts w:ascii="Verdana" w:eastAsia="Calibri" w:hAnsi="Verdana" w:cs="Arial"/>
                <w:sz w:val="18"/>
                <w:szCs w:val="18"/>
              </w:rPr>
            </w:pPr>
            <w:r w:rsidRPr="00392454">
              <w:rPr>
                <w:rStyle w:val="normaltextrun"/>
                <w:rFonts w:ascii="Verdana" w:eastAsia="Calibri" w:hAnsi="Verdana" w:cs="Arial"/>
                <w:sz w:val="18"/>
                <w:szCs w:val="18"/>
              </w:rPr>
              <w:t>PRO.2.1.5.1 Rutine ved endringer av godkjente tilbud ved THYF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C63C1" w:rsidRPr="00392454" w:rsidP="00156FD2" w14:paraId="7D6EDB7D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tr w14:paraId="3A843B68" w14:textId="77777777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581A45" w14:paraId="75778B4B" w14:textId="00C750DD">
            <w:pPr>
              <w:jc w:val="both"/>
              <w:rPr>
                <w:rStyle w:val="normaltextrun"/>
                <w:rFonts w:ascii="Verdana" w:eastAsia="Calibri" w:hAnsi="Verdana" w:cs="Arial"/>
                <w:sz w:val="18"/>
                <w:szCs w:val="18"/>
              </w:rPr>
            </w:pPr>
            <w:r w:rsidRPr="00392454">
              <w:rPr>
                <w:rStyle w:val="normaltextrun"/>
                <w:rFonts w:ascii="Verdana" w:eastAsia="Calibri" w:hAnsi="Verdana" w:cs="Arial"/>
                <w:sz w:val="18"/>
                <w:szCs w:val="18"/>
              </w:rPr>
              <w:t xml:space="preserve">PRO.2.1.7.2 </w:t>
            </w:r>
            <w:r w:rsidRPr="00392454">
              <w:rPr>
                <w:rFonts w:ascii="Verdana" w:eastAsia="Calibri" w:hAnsi="Verdana" w:cs="Arial"/>
                <w:sz w:val="18"/>
                <w:szCs w:val="18"/>
              </w:rPr>
              <w:t>Prosedyre for periodisk gjennomgang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156FD2" w14:paraId="0627A8D2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tr w14:paraId="782FF478" w14:textId="77777777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94738A" w14:paraId="21A1EC8B" w14:textId="484F1C51">
            <w:pPr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392454">
              <w:rPr>
                <w:rFonts w:ascii="Verdana" w:eastAsia="Calibri" w:hAnsi="Verdana" w:cs="Arial"/>
                <w:sz w:val="18"/>
                <w:szCs w:val="18"/>
              </w:rPr>
              <w:t>PRO.2.1.9.1 Prosedyre for forbedringsmeldinger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94738A" w14:paraId="5BFC46AB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tr w14:paraId="089B1150" w14:textId="77777777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94738A" w14:paraId="2D5B0BFC" w14:textId="1E0F0294">
            <w:pPr>
              <w:jc w:val="both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392454">
              <w:rPr>
                <w:rFonts w:ascii="Verdana" w:eastAsia="Calibri" w:hAnsi="Verdana" w:cs="Arial"/>
                <w:sz w:val="18"/>
                <w:szCs w:val="18"/>
              </w:rPr>
              <w:t xml:space="preserve">PRO.2.1.10.1 Prosedyre for kommunikasjon (ref. eksisterende </w:t>
            </w:r>
            <w:r w:rsidRPr="00392454">
              <w:rPr>
                <w:rFonts w:ascii="Verdana" w:eastAsia="Calibri" w:hAnsi="Verdana" w:cs="Arial"/>
                <w:sz w:val="18"/>
                <w:szCs w:val="18"/>
              </w:rPr>
              <w:t>dok</w:t>
            </w:r>
            <w:r w:rsidRPr="00392454">
              <w:rPr>
                <w:rFonts w:ascii="Verdana" w:eastAsia="Calibri" w:hAnsi="Verdana" w:cs="Arial"/>
                <w:sz w:val="18"/>
                <w:szCs w:val="18"/>
              </w:rPr>
              <w:t xml:space="preserve"> v/</w:t>
            </w:r>
            <w:hyperlink r:id="rId12" w:history="1">
              <w:r w:rsidRPr="00392454">
                <w:rPr>
                  <w:rStyle w:val="Hyperlink"/>
                  <w:rFonts w:ascii="Verdana" w:eastAsia="Calibri" w:hAnsi="Verdana" w:cs="Arial"/>
                  <w:sz w:val="18"/>
                  <w:szCs w:val="18"/>
                </w:rPr>
                <w:t>YN</w:t>
              </w:r>
            </w:hyperlink>
            <w:r w:rsidRPr="00392454">
              <w:rPr>
                <w:rFonts w:ascii="Verdana" w:eastAsia="Calibri" w:hAnsi="Verdana" w:cs="Arial"/>
                <w:sz w:val="18"/>
                <w:szCs w:val="18"/>
              </w:rPr>
              <w:t xml:space="preserve"> og </w:t>
            </w:r>
            <w:hyperlink r:id="rId13" w:history="1">
              <w:r w:rsidRPr="00392454">
                <w:rPr>
                  <w:rStyle w:val="Hyperlink"/>
                  <w:rFonts w:ascii="Verdana" w:eastAsia="Calibri" w:hAnsi="Verdana" w:cs="Arial"/>
                  <w:sz w:val="18"/>
                  <w:szCs w:val="18"/>
                </w:rPr>
                <w:t>TRH</w:t>
              </w:r>
            </w:hyperlink>
            <w:r w:rsidRPr="00392454">
              <w:rPr>
                <w:rFonts w:ascii="Verdana" w:eastAsia="Calibri" w:hAnsi="Verdan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1A45" w:rsidRPr="00392454" w:rsidP="0094738A" w14:paraId="18E79DBD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tr w14:paraId="2C7922D4" w14:textId="77777777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59E6" w:rsidRPr="00392454" w:rsidP="00D459E6" w14:paraId="226BBA01" w14:textId="31D5EC38">
            <w:pPr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392454">
              <w:rPr>
                <w:rStyle w:val="normaltextrun"/>
                <w:rFonts w:ascii="Verdana" w:eastAsia="Calibri" w:hAnsi="Verdana" w:cs="Arial"/>
                <w:sz w:val="18"/>
                <w:szCs w:val="18"/>
              </w:rPr>
              <w:t>TAB.3 Interessenter – identifikasjon og analyse av forventninger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59E6" w:rsidRPr="00392454" w:rsidP="0094738A" w14:paraId="19CB6F4A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</w:p>
        </w:tc>
      </w:tr>
      <w:bookmarkEnd w:id="8"/>
    </w:tbl>
    <w:p w:rsidR="00156FD2" w:rsidRPr="00392454" w14:paraId="465E4F8D" w14:textId="77777777">
      <w:pPr>
        <w:rPr>
          <w:rFonts w:ascii="Verdana" w:hAnsi="Verdana"/>
          <w:sz w:val="18"/>
          <w:szCs w:val="18"/>
        </w:rPr>
      </w:pPr>
    </w:p>
    <w:p w:rsidR="001C0FFA" w:rsidRPr="00392454" w:rsidP="00156FD2" w14:paraId="745AAFDD" w14:textId="77777777">
      <w:pPr>
        <w:spacing w:after="120"/>
        <w:rPr>
          <w:rFonts w:ascii="Verdana" w:hAnsi="Verdana"/>
          <w:b/>
          <w:bCs/>
          <w:sz w:val="18"/>
          <w:szCs w:val="18"/>
        </w:rPr>
      </w:pPr>
      <w:r w:rsidRPr="00392454">
        <w:rPr>
          <w:rFonts w:ascii="Verdana" w:hAnsi="Verdana"/>
          <w:b/>
          <w:bCs/>
          <w:sz w:val="18"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9" w:name="EK_EksRef"/>
            <w:hyperlink r:id="rId14" w:history="1">
              <w:r>
                <w:rPr>
                  <w:b w:val="0"/>
                  <w:color w:val="0000FF"/>
                  <w:u w:val="single"/>
                </w:rPr>
                <w:t>.19 Trøndelag høyere yrkesfagskole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5" w:history="1">
              <w:r>
                <w:rPr>
                  <w:b w:val="0"/>
                  <w:color w:val="0000FF"/>
                  <w:u w:val="single"/>
                </w:rPr>
                <w:t>.18.2 HMS-lovgivning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6" w:anchor="KAPITTEL_3" w:history="1">
              <w:r>
                <w:rPr>
                  <w:b w:val="0"/>
                  <w:color w:val="0000FF"/>
                  <w:u w:val="single"/>
                </w:rPr>
                <w:t>.18.2.1 Arbeidsmiljøloven, Kapittel 2 A. Varsling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7" w:history="1">
              <w:r>
                <w:rPr>
                  <w:b w:val="0"/>
                  <w:color w:val="0000FF"/>
                  <w:u w:val="single"/>
                </w:rPr>
                <w:t>15504 Veileder til elektronisk avviks- og forbedringsforslag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8" w:anchor="search=varsling" w:history="1">
              <w:r>
                <w:rPr>
                  <w:b w:val="0"/>
                  <w:color w:val="0000FF"/>
                  <w:u w:val="single"/>
                </w:rPr>
                <w:t>15506 Rutine for varsling av kritikkverdige forhold i Trøndelag fylkeskommune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w:history="1">
              <w:r>
                <w:rPr>
                  <w:b w:val="0"/>
                  <w:color w:val="0000FF"/>
                  <w:u w:val="single"/>
                </w:rPr>
                <w:t>.18 THYF -  Aktuelle lover og forskrifter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9" w:history="1">
              <w:r>
                <w:rPr>
                  <w:b w:val="0"/>
                  <w:color w:val="0000FF"/>
                  <w:u w:val="single"/>
                </w:rPr>
                <w:t xml:space="preserve"> DNVGL-ST-0029 Maritime Training Providers (2017, amended  Nov. 2021)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9" w:history="1">
              <w:r>
                <w:rPr>
                  <w:b w:val="0"/>
                  <w:color w:val="0000FF"/>
                  <w:u w:val="single"/>
                </w:rPr>
                <w:t>2.1 Management responsibility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0" w:history="1">
              <w:r>
                <w:rPr>
                  <w:b w:val="0"/>
                  <w:color w:val="0000FF"/>
                  <w:u w:val="single"/>
                </w:rPr>
                <w:t>.19.4 Visjon, mål og kvalitetspolitikk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1" w:history="1">
              <w:r>
                <w:rPr>
                  <w:b w:val="0"/>
                  <w:color w:val="0000FF"/>
                  <w:u w:val="single"/>
                </w:rPr>
                <w:t xml:space="preserve"> Forskrift om høyere yrkesfaglig utdanning ved Trøndelag høyere yrkesfagskole</w:t>
              </w:r>
            </w:hyperlink>
          </w:p>
        </w:tc>
      </w:tr>
    </w:tbl>
    <w:p w:rsidR="001C0FFA" w:rsidRPr="00392454" w14:paraId="745AAFE0" w14:textId="77777777">
      <w:pPr>
        <w:rPr>
          <w:rFonts w:ascii="Verdana" w:hAnsi="Verdana"/>
          <w:sz w:val="18"/>
          <w:szCs w:val="18"/>
        </w:rPr>
      </w:pPr>
      <w:bookmarkEnd w:id="9"/>
    </w:p>
    <w:p w:rsidR="001C0FFA" w:rsidRPr="00392454" w14:paraId="745AAFE1" w14:textId="77777777">
      <w:pPr>
        <w:rPr>
          <w:rFonts w:ascii="Verdana" w:hAnsi="Verdana"/>
          <w:sz w:val="18"/>
          <w:szCs w:val="18"/>
        </w:rPr>
      </w:pPr>
    </w:p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745AAF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745AAFE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745AAFED" w14:textId="3B49EC6C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B0D4B" w14:paraId="6205B764" w14:textId="77777777">
      <w:r>
        <w:separator/>
      </w:r>
    </w:p>
  </w:footnote>
  <w:footnote w:type="continuationSeparator" w:id="1">
    <w:p w:rsidR="00EB0D4B" w14:paraId="4FA5381C" w14:textId="77777777">
      <w:r>
        <w:continuationSeparator/>
      </w:r>
    </w:p>
  </w:footnote>
  <w:footnote w:type="continuationNotice" w:id="2">
    <w:p w:rsidR="00434EF3" w14:paraId="33B88AD8" w14:textId="77777777"/>
  </w:footnote>
  <w:footnote w:id="3">
    <w:p w:rsidR="00F92B27" w:rsidP="002813B0" w14:paraId="298BE9C6" w14:textId="10DC6B4C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Meldte hendelser omfatter uønskede hendelser i form av avvik, tilløp til hendelser observasjoner og nesten</w:t>
      </w:r>
      <w:r w:rsidR="002813B0">
        <w:t>h</w:t>
      </w:r>
      <w:r>
        <w:t>endelser/nestenulykker.</w:t>
      </w:r>
    </w:p>
  </w:footnote>
  <w:footnote w:id="4">
    <w:p w:rsidR="003C4D7E" w:rsidP="00740C48" w14:paraId="5EE71666" w14:textId="76F83092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3C4D7E">
        <w:t>En klage uttrykker misnøye med en avgjørelse eller et vedtak som en part har mottatt</w:t>
      </w:r>
      <w:r w:rsidR="00740C48">
        <w:t>, jfr. lovverk for høyere yrkesfaglig utdanning</w:t>
      </w:r>
      <w:r w:rsidRPr="003C4D7E">
        <w:t>.</w:t>
      </w:r>
    </w:p>
  </w:footnote>
  <w:footnote w:id="5">
    <w:p w:rsidR="003C4D7E" w:rsidP="002813B0" w14:paraId="6627543A" w14:textId="7173158B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Et varsel omfatter kritikkverdige forhold som er i strid med rettsregler, retningslinjer eller etiske normer i samfunnet.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745AAF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745AAFE5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745AAFE3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Kapittel 2.1 Ledelsens ansvar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745AAFE4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1.2.3</w:t>
          </w:r>
          <w:r>
            <w:rPr>
              <w:sz w:val="20"/>
            </w:rPr>
            <w:fldChar w:fldCharType="end"/>
          </w:r>
        </w:p>
      </w:tc>
    </w:tr>
    <w:tr w14:paraId="745AAFE8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745AAFE6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745AAFE7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8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:rsidR="001C0FFA" w14:paraId="745AAFE9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745AAF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24344"/>
    <w:multiLevelType w:val="multilevel"/>
    <w:tmpl w:val="67965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C26531"/>
    <w:multiLevelType w:val="hybridMultilevel"/>
    <w:tmpl w:val="29C003A8"/>
    <w:lvl w:ilvl="0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F04"/>
    <w:multiLevelType w:val="hybridMultilevel"/>
    <w:tmpl w:val="6D002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5082"/>
    <w:multiLevelType w:val="hybridMultilevel"/>
    <w:tmpl w:val="8EA011DE"/>
    <w:lvl w:ilvl="0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7D5B"/>
    <w:multiLevelType w:val="hybridMultilevel"/>
    <w:tmpl w:val="C59CA59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E48A2"/>
    <w:multiLevelType w:val="hybridMultilevel"/>
    <w:tmpl w:val="F2066D4E"/>
    <w:lvl w:ilvl="0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0170"/>
    <w:multiLevelType w:val="multilevel"/>
    <w:tmpl w:val="DE5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  <w:u w:val="single"/>
      </w:rPr>
    </w:lvl>
    <w:lvl w:ilvl="2">
      <w:start w:val="6"/>
      <w:numFmt w:val="decimal"/>
      <w:isLgl/>
      <w:lvlText w:val="%1.%2.%3"/>
      <w:lvlJc w:val="left"/>
      <w:pPr>
        <w:ind w:left="64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7">
    <w:nsid w:val="47CC143D"/>
    <w:multiLevelType w:val="multilevel"/>
    <w:tmpl w:val="18BA06F4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u w:val="singl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8">
    <w:nsid w:val="51BB8A76"/>
    <w:multiLevelType w:val="hybridMultilevel"/>
    <w:tmpl w:val="1ECE28C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76842"/>
    <w:multiLevelType w:val="hybridMultilevel"/>
    <w:tmpl w:val="0B26EA6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576F7"/>
    <w:multiLevelType w:val="hybridMultilevel"/>
    <w:tmpl w:val="5696377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BA45A"/>
    <w:multiLevelType w:val="hybridMultilevel"/>
    <w:tmpl w:val="8F38DD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  <w:footnote w:id="2"/>
  </w:footnotePr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A"/>
    <w:rsid w:val="00000E88"/>
    <w:rsid w:val="0000371A"/>
    <w:rsid w:val="000066E3"/>
    <w:rsid w:val="00015CE9"/>
    <w:rsid w:val="00021E28"/>
    <w:rsid w:val="00042C7B"/>
    <w:rsid w:val="00042EB2"/>
    <w:rsid w:val="00076C8B"/>
    <w:rsid w:val="000830A2"/>
    <w:rsid w:val="00096BA6"/>
    <w:rsid w:val="000B5562"/>
    <w:rsid w:val="000D2936"/>
    <w:rsid w:val="000E2827"/>
    <w:rsid w:val="000F3BF2"/>
    <w:rsid w:val="00102469"/>
    <w:rsid w:val="001221C7"/>
    <w:rsid w:val="0013586A"/>
    <w:rsid w:val="00151BCB"/>
    <w:rsid w:val="00156FD2"/>
    <w:rsid w:val="001749A0"/>
    <w:rsid w:val="00192098"/>
    <w:rsid w:val="001A500E"/>
    <w:rsid w:val="001A7447"/>
    <w:rsid w:val="001C0FFA"/>
    <w:rsid w:val="00215AE9"/>
    <w:rsid w:val="00225AC7"/>
    <w:rsid w:val="00267E1F"/>
    <w:rsid w:val="00280477"/>
    <w:rsid w:val="002813B0"/>
    <w:rsid w:val="00297709"/>
    <w:rsid w:val="002C59DA"/>
    <w:rsid w:val="00307338"/>
    <w:rsid w:val="00327F8D"/>
    <w:rsid w:val="00365773"/>
    <w:rsid w:val="00385164"/>
    <w:rsid w:val="00392454"/>
    <w:rsid w:val="00392613"/>
    <w:rsid w:val="003A6593"/>
    <w:rsid w:val="003C2FA8"/>
    <w:rsid w:val="003C4D7E"/>
    <w:rsid w:val="003C6A7C"/>
    <w:rsid w:val="003D4093"/>
    <w:rsid w:val="003E0679"/>
    <w:rsid w:val="003F09B9"/>
    <w:rsid w:val="003F0DEA"/>
    <w:rsid w:val="00415440"/>
    <w:rsid w:val="00434EF3"/>
    <w:rsid w:val="00441CED"/>
    <w:rsid w:val="00491C67"/>
    <w:rsid w:val="004F400D"/>
    <w:rsid w:val="005037FB"/>
    <w:rsid w:val="0050425B"/>
    <w:rsid w:val="00581A45"/>
    <w:rsid w:val="00586C08"/>
    <w:rsid w:val="00593ADB"/>
    <w:rsid w:val="005C45B8"/>
    <w:rsid w:val="005D1BF3"/>
    <w:rsid w:val="005E1F89"/>
    <w:rsid w:val="005F7187"/>
    <w:rsid w:val="00600083"/>
    <w:rsid w:val="00610839"/>
    <w:rsid w:val="0061476B"/>
    <w:rsid w:val="0062606C"/>
    <w:rsid w:val="006419E3"/>
    <w:rsid w:val="00666FFA"/>
    <w:rsid w:val="00686FA0"/>
    <w:rsid w:val="006C13DE"/>
    <w:rsid w:val="006D0E36"/>
    <w:rsid w:val="006F747D"/>
    <w:rsid w:val="007139BE"/>
    <w:rsid w:val="00727504"/>
    <w:rsid w:val="0072798C"/>
    <w:rsid w:val="00740C48"/>
    <w:rsid w:val="0076098D"/>
    <w:rsid w:val="00772964"/>
    <w:rsid w:val="007B25DE"/>
    <w:rsid w:val="007B2DE9"/>
    <w:rsid w:val="00824BB6"/>
    <w:rsid w:val="00830B7D"/>
    <w:rsid w:val="00834824"/>
    <w:rsid w:val="0086776A"/>
    <w:rsid w:val="008719B5"/>
    <w:rsid w:val="00894711"/>
    <w:rsid w:val="008D1705"/>
    <w:rsid w:val="008D2694"/>
    <w:rsid w:val="0090240C"/>
    <w:rsid w:val="0090270A"/>
    <w:rsid w:val="00904D6B"/>
    <w:rsid w:val="00924344"/>
    <w:rsid w:val="00927A7D"/>
    <w:rsid w:val="00930CC1"/>
    <w:rsid w:val="00933863"/>
    <w:rsid w:val="0094196E"/>
    <w:rsid w:val="0094738A"/>
    <w:rsid w:val="009514B8"/>
    <w:rsid w:val="0096566D"/>
    <w:rsid w:val="00980C86"/>
    <w:rsid w:val="00991B78"/>
    <w:rsid w:val="009B28CE"/>
    <w:rsid w:val="009C63C1"/>
    <w:rsid w:val="009C7DB0"/>
    <w:rsid w:val="009F2776"/>
    <w:rsid w:val="009F38FB"/>
    <w:rsid w:val="009F4228"/>
    <w:rsid w:val="009F44BC"/>
    <w:rsid w:val="00A266E6"/>
    <w:rsid w:val="00A63110"/>
    <w:rsid w:val="00A63394"/>
    <w:rsid w:val="00A77EBD"/>
    <w:rsid w:val="00A80834"/>
    <w:rsid w:val="00A90D51"/>
    <w:rsid w:val="00AA5BD9"/>
    <w:rsid w:val="00AA69CB"/>
    <w:rsid w:val="00AE46C2"/>
    <w:rsid w:val="00AF413B"/>
    <w:rsid w:val="00B01DCD"/>
    <w:rsid w:val="00B20E06"/>
    <w:rsid w:val="00B23BA3"/>
    <w:rsid w:val="00B26648"/>
    <w:rsid w:val="00B84574"/>
    <w:rsid w:val="00BA231C"/>
    <w:rsid w:val="00BB626A"/>
    <w:rsid w:val="00BD0114"/>
    <w:rsid w:val="00BD4603"/>
    <w:rsid w:val="00BE04C6"/>
    <w:rsid w:val="00BF75FB"/>
    <w:rsid w:val="00C20256"/>
    <w:rsid w:val="00C21A94"/>
    <w:rsid w:val="00C66072"/>
    <w:rsid w:val="00C808F8"/>
    <w:rsid w:val="00C922D3"/>
    <w:rsid w:val="00C95B1A"/>
    <w:rsid w:val="00CA10DF"/>
    <w:rsid w:val="00CA59B0"/>
    <w:rsid w:val="00CB572A"/>
    <w:rsid w:val="00CB6534"/>
    <w:rsid w:val="00CD30E0"/>
    <w:rsid w:val="00D2345B"/>
    <w:rsid w:val="00D44BEF"/>
    <w:rsid w:val="00D459E6"/>
    <w:rsid w:val="00D46202"/>
    <w:rsid w:val="00D70754"/>
    <w:rsid w:val="00D94603"/>
    <w:rsid w:val="00D96385"/>
    <w:rsid w:val="00DB232D"/>
    <w:rsid w:val="00DB56FE"/>
    <w:rsid w:val="00DD0F0B"/>
    <w:rsid w:val="00E25A1B"/>
    <w:rsid w:val="00E2754F"/>
    <w:rsid w:val="00E34F49"/>
    <w:rsid w:val="00E44A25"/>
    <w:rsid w:val="00E554CF"/>
    <w:rsid w:val="00E625DD"/>
    <w:rsid w:val="00E7370A"/>
    <w:rsid w:val="00E76F23"/>
    <w:rsid w:val="00E81E74"/>
    <w:rsid w:val="00E90EC7"/>
    <w:rsid w:val="00EA62C8"/>
    <w:rsid w:val="00EB0D4B"/>
    <w:rsid w:val="00EB31B0"/>
    <w:rsid w:val="00EC1B8D"/>
    <w:rsid w:val="00ED33C0"/>
    <w:rsid w:val="00F0312C"/>
    <w:rsid w:val="00F75326"/>
    <w:rsid w:val="00F92B27"/>
    <w:rsid w:val="00FA3267"/>
    <w:rsid w:val="00FA638C"/>
    <w:rsid w:val="00FB4DC0"/>
    <w:rsid w:val="00FB79A5"/>
    <w:rsid w:val="00FD4789"/>
    <w:rsid w:val="00FD6D61"/>
    <w:rsid w:val="00FF4842"/>
    <w:rsid w:val="00FF61E9"/>
    <w:rsid w:val="0C08A954"/>
    <w:rsid w:val="11A2A6C6"/>
    <w:rsid w:val="47B213CF"/>
    <w:rsid w:val="55154E55"/>
    <w:rsid w:val="55C9EBAF"/>
    <w:rsid w:val="57C23C75"/>
    <w:rsid w:val="57DE123D"/>
    <w:rsid w:val="740574E5"/>
    <w:rsid w:val="7B65CCEA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Standard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endrfields" w:val="EK_Rapport¤1#"/>
    <w:docVar w:name="ek_format" w:val="-2"/>
    <w:docVar w:name="ek_rapport" w:val="[Tilknyttet rapport]"/>
    <w:docVar w:name="EK_TYPE" w:val="MAL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5AAFC3"/>
  <w15:docId w15:val="{42E34BA7-2071-4D87-BD04-210633E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81A45"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BB626A"/>
    <w:pPr>
      <w:spacing w:before="120" w:after="120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rsid w:val="00904D6B"/>
    <w:pPr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307338"/>
    <w:pPr>
      <w:spacing w:before="120" w:after="240" w:line="259" w:lineRule="auto"/>
    </w:pPr>
    <w:rPr>
      <w:rFonts w:eastAsia="Calibri" w:cs="Arial"/>
      <w:i/>
      <w:iCs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307338"/>
    <w:pPr>
      <w:spacing w:after="120" w:line="259" w:lineRule="auto"/>
      <w:ind w:left="720"/>
      <w:contextualSpacing/>
    </w:pPr>
    <w:rPr>
      <w:rFonts w:eastAsia="Calibri" w:cs="Arial"/>
      <w:szCs w:val="24"/>
      <w:lang w:eastAsia="en-US"/>
    </w:rPr>
  </w:style>
  <w:style w:type="character" w:styleId="Hyperlink">
    <w:name w:val="Hyperlink"/>
    <w:uiPriority w:val="99"/>
    <w:unhideWhenUsed/>
    <w:rsid w:val="00307338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307338"/>
  </w:style>
  <w:style w:type="paragraph" w:customStyle="1" w:styleId="paragraph">
    <w:name w:val="paragraph"/>
    <w:basedOn w:val="Normal"/>
    <w:uiPriority w:val="1"/>
    <w:rsid w:val="00307338"/>
    <w:pPr>
      <w:spacing w:beforeAutospacing="1" w:after="120" w:afterAutospacing="1" w:line="259" w:lineRule="auto"/>
    </w:pPr>
    <w:rPr>
      <w:szCs w:val="24"/>
    </w:rPr>
  </w:style>
  <w:style w:type="character" w:customStyle="1" w:styleId="eop">
    <w:name w:val="eop"/>
    <w:basedOn w:val="DefaultParagraphFont"/>
    <w:rsid w:val="00307338"/>
  </w:style>
  <w:style w:type="character" w:styleId="CommentReference">
    <w:name w:val="annotation reference"/>
    <w:uiPriority w:val="99"/>
    <w:unhideWhenUsed/>
    <w:rsid w:val="00307338"/>
    <w:rPr>
      <w:sz w:val="16"/>
      <w:szCs w:val="16"/>
    </w:rPr>
  </w:style>
  <w:style w:type="paragraph" w:styleId="CommentText">
    <w:name w:val="annotation text"/>
    <w:basedOn w:val="Normal"/>
    <w:link w:val="MerknadstekstTegn"/>
    <w:uiPriority w:val="99"/>
    <w:unhideWhenUsed/>
    <w:rsid w:val="00307338"/>
    <w:pPr>
      <w:spacing w:after="120"/>
    </w:pPr>
    <w:rPr>
      <w:rFonts w:eastAsia="Calibri" w:cs="Arial"/>
      <w:sz w:val="20"/>
      <w:lang w:eastAsia="en-US"/>
    </w:rPr>
  </w:style>
  <w:style w:type="character" w:customStyle="1" w:styleId="MerknadstekstTegn">
    <w:name w:val="Merknadstekst Tegn"/>
    <w:link w:val="CommentText"/>
    <w:uiPriority w:val="99"/>
    <w:rsid w:val="00307338"/>
    <w:rPr>
      <w:rFonts w:eastAsia="Calibri" w:cs="Arial"/>
      <w:lang w:eastAsia="en-US"/>
    </w:rPr>
  </w:style>
  <w:style w:type="character" w:customStyle="1" w:styleId="Ulstomtale1">
    <w:name w:val="Uløst omtale1"/>
    <w:rsid w:val="0062606C"/>
    <w:rPr>
      <w:color w:val="605E5C"/>
      <w:shd w:val="clear" w:color="auto" w:fill="E1DFDD"/>
    </w:rPr>
  </w:style>
  <w:style w:type="table" w:styleId="TableGrid">
    <w:name w:val="Table Grid"/>
    <w:basedOn w:val="TableNormal"/>
    <w:rsid w:val="0064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6419E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Ulstomtale2">
    <w:name w:val="Uløst omtale2"/>
    <w:rsid w:val="00E81E74"/>
    <w:rPr>
      <w:color w:val="605E5C"/>
      <w:shd w:val="clear" w:color="auto" w:fill="E1DFDD"/>
    </w:rPr>
  </w:style>
  <w:style w:type="character" w:customStyle="1" w:styleId="Ulstomtale3">
    <w:name w:val="Uløst omtale3"/>
    <w:basedOn w:val="DefaultParagraphFont"/>
    <w:rsid w:val="00C922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tnotetekstTegn"/>
    <w:rsid w:val="00F92B27"/>
    <w:rPr>
      <w:sz w:val="20"/>
    </w:rPr>
  </w:style>
  <w:style w:type="character" w:customStyle="1" w:styleId="FotnotetekstTegn">
    <w:name w:val="Fotnotetekst Tegn"/>
    <w:basedOn w:val="DefaultParagraphFont"/>
    <w:link w:val="FootnoteText"/>
    <w:rsid w:val="00F92B27"/>
  </w:style>
  <w:style w:type="character" w:styleId="FootnoteReference">
    <w:name w:val="footnote reference"/>
    <w:basedOn w:val="DefaultParagraphFont"/>
    <w:rsid w:val="00F92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4.jpeg" /><Relationship Id="rId11" Type="http://schemas.openxmlformats.org/officeDocument/2006/relationships/image" Target="media/image5.emf" /><Relationship Id="rId12" Type="http://schemas.openxmlformats.org/officeDocument/2006/relationships/hyperlink" Target="https://tronder.sharepoint.com/:w:/r/sites/felles-ytr/_layouts/15/Doc.aspx?sourcedoc=%7B33EB3941-95FD-4D1C-AD97-5B58856AF602%7D&amp;file=Kommunikasjonskanaler.%20Prosedyre.docx&amp;action=default&amp;mobileredirect=true" TargetMode="External" /><Relationship Id="rId13" Type="http://schemas.openxmlformats.org/officeDocument/2006/relationships/hyperlink" Target="https://thyf.dkhosting.no/docs/pub/DOK00143.pdf" TargetMode="External" /><Relationship Id="rId14" Type="http://schemas.openxmlformats.org/officeDocument/2006/relationships/hyperlink" Target="https://web.trondelagfylke.no/trondelag-hoyere-yrkesfagskole/" TargetMode="External" /><Relationship Id="rId15" Type="http://schemas.openxmlformats.org/officeDocument/2006/relationships/hyperlink" Target="https://lovdata.no/" TargetMode="External" /><Relationship Id="rId16" Type="http://schemas.openxmlformats.org/officeDocument/2006/relationships/hyperlink" Target="https://lovdata.no/dokument/NL/lov/2005-06-17-62/KAPITTEL_3" TargetMode="External" /><Relationship Id="rId17" Type="http://schemas.openxmlformats.org/officeDocument/2006/relationships/hyperlink" Target="https://tronder.sharepoint.com/sites/intranett/ansatt/AnsattInformasjon/Avvikssystem/201028%20Melding%20om%20avvik-%20og%20forbedringsforslag,%20samt%20u%C3%B8nskede%20hendelser%20i%20TRFK.docx" TargetMode="External" /><Relationship Id="rId18" Type="http://schemas.openxmlformats.org/officeDocument/2006/relationships/hyperlink" Target="https://tronder.sharepoint.com/sites/intranett/Styrendedok/Struktur for styrende dokumenter/Rutine for varsling av kritikkverdige forhold.pdf" TargetMode="External" /><Relationship Id="rId19" Type="http://schemas.openxmlformats.org/officeDocument/2006/relationships/hyperlink" Target="https://standards.dnv.com/explorer/document/F63D7FA6C45F460DA09A0DBEFB1C4C1F/4" TargetMode="External" /><Relationship Id="rId2" Type="http://schemas.openxmlformats.org/officeDocument/2006/relationships/settings" Target="settings.xml" /><Relationship Id="rId20" Type="http://schemas.openxmlformats.org/officeDocument/2006/relationships/hyperlink" Target="https://web.trondelagfylke.no/contentassets/4e79ba31360041b8bae4520c78f27747/vedtatt_kvalitetspolitikk.pdf" TargetMode="External" /><Relationship Id="rId21" Type="http://schemas.openxmlformats.org/officeDocument/2006/relationships/hyperlink" Target="https://lovdata.no/dokument/SF/forskrift/2021-06-30-2379" TargetMode="External" /><Relationship Id="rId22" Type="http://schemas.openxmlformats.org/officeDocument/2006/relationships/header" Target="header1.xml" /><Relationship Id="rId23" Type="http://schemas.openxmlformats.org/officeDocument/2006/relationships/header" Target="header2.xml" /><Relationship Id="rId24" Type="http://schemas.openxmlformats.org/officeDocument/2006/relationships/footer" Target="footer1.xml" /><Relationship Id="rId25" Type="http://schemas.openxmlformats.org/officeDocument/2006/relationships/footer" Target="footer2.xml" /><Relationship Id="rId26" Type="http://schemas.openxmlformats.org/officeDocument/2006/relationships/header" Target="header3.xml" /><Relationship Id="rId27" Type="http://schemas.openxmlformats.org/officeDocument/2006/relationships/footer" Target="footer3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webSettings" Target="webSettings.xml" /><Relationship Id="rId30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image" Target="media/image2.jpeg" /><Relationship Id="rId8" Type="http://schemas.openxmlformats.org/officeDocument/2006/relationships/hyperlink" Target="https://thyf.dkhosting.no" TargetMode="External" /><Relationship Id="rId9" Type="http://schemas.openxmlformats.org/officeDocument/2006/relationships/image" Target="media/image3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8627-1B7F-4301-8825-0DCE4D49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1068</TotalTime>
  <Pages>8</Pages>
  <Words>2623</Words>
  <Characters>13905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Kapittel 2.1 Ledelsens ansvar</vt:lpstr>
      <vt:lpstr>	</vt:lpstr>
    </vt:vector>
  </TitlesOfParts>
  <Company>Datakvalitet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Kapittel 2.1 Ledelsens ansvar</dc:title>
  <dc:subject>Standard|[RefNr]|</dc:subject>
  <dc:creator>Handbok</dc:creator>
  <dc:description>EK_Avdeling4[Avdeling]EK_Avsnitt4[Avsnitt]EK_Bedriftsnavn1TRONDHEIM FAGSKOLEEK_GjelderFra0[GjelderFra]EK_Opprettet0[Opprettet]EK_Utgitt0[Utgitt]EK_IBrukDato0[Endret]EK_DokumentID0[ID]EK_DokTittel0StandardEK_DokType0[DokType]EK_EksRef2EksRef_LayoutEK_Erstatter0[Erstatter]EK_ErstatterD0[ErstatterD]EK_Signatur0[Signatur]EK_Verifisert0[Verifisert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28</cp:revision>
  <cp:lastPrinted>2023-01-06T11:20:00Z</cp:lastPrinted>
  <dcterms:created xsi:type="dcterms:W3CDTF">2018-03-22T12:40:00Z</dcterms:created>
  <dcterms:modified xsi:type="dcterms:W3CDTF">2023-03-24T09:17:00Z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Kapittel 2.1 Ledelsens ansvar</vt:lpwstr>
  </property>
  <property fmtid="{D5CDD505-2E9C-101B-9397-08002B2CF9AE}" pid="4" name="EK_DokType">
    <vt:lpwstr>MTP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24.03.2023</vt:lpwstr>
  </property>
  <property fmtid="{D5CDD505-2E9C-101B-9397-08002B2CF9AE}" pid="7" name="EK_RefNr">
    <vt:lpwstr>1.2.3</vt:lpwstr>
  </property>
  <property fmtid="{D5CDD505-2E9C-101B-9397-08002B2CF9AE}" pid="8" name="EK_Signatur">
    <vt:lpwstr>Ikke styrt</vt:lpwstr>
  </property>
  <property fmtid="{D5CDD505-2E9C-101B-9397-08002B2CF9AE}" pid="9" name="EK_SkrevetAv">
    <vt:lpwstr>HANMI</vt:lpwstr>
  </property>
  <property fmtid="{D5CDD505-2E9C-101B-9397-08002B2CF9AE}" pid="10" name="EK_Utgave">
    <vt:lpwstr>0.18</vt:lpwstr>
  </property>
  <property fmtid="{D5CDD505-2E9C-101B-9397-08002B2CF9AE}" pid="11" name="EK_Watermark">
    <vt:lpwstr>Vannmerke</vt:lpwstr>
  </property>
  <property fmtid="{D5CDD505-2E9C-101B-9397-08002B2CF9AE}" pid="12" name="XR00001">
    <vt:lpwstr/>
  </property>
  <property fmtid="{D5CDD505-2E9C-101B-9397-08002B2CF9AE}" pid="13" name="XR00007">
    <vt:lpwstr>2.1</vt:lpwstr>
  </property>
  <property fmtid="{D5CDD505-2E9C-101B-9397-08002B2CF9AE}" pid="14" name="XR00066">
    <vt:lpwstr/>
  </property>
  <property fmtid="{D5CDD505-2E9C-101B-9397-08002B2CF9AE}" pid="15" name="XR00115">
    <vt:lpwstr>15501</vt:lpwstr>
  </property>
  <property fmtid="{D5CDD505-2E9C-101B-9397-08002B2CF9AE}" pid="16" name="XR00117">
    <vt:lpwstr>15503</vt:lpwstr>
  </property>
  <property fmtid="{D5CDD505-2E9C-101B-9397-08002B2CF9AE}" pid="17" name="XR00118">
    <vt:lpwstr>15504</vt:lpwstr>
  </property>
  <property fmtid="{D5CDD505-2E9C-101B-9397-08002B2CF9AE}" pid="18" name="XR00121">
    <vt:lpwstr>15506</vt:lpwstr>
  </property>
  <property fmtid="{D5CDD505-2E9C-101B-9397-08002B2CF9AE}" pid="19" name="XR00124">
    <vt:lpwstr>.18</vt:lpwstr>
  </property>
  <property fmtid="{D5CDD505-2E9C-101B-9397-08002B2CF9AE}" pid="20" name="XR00125">
    <vt:lpwstr>.19</vt:lpwstr>
  </property>
  <property fmtid="{D5CDD505-2E9C-101B-9397-08002B2CF9AE}" pid="21" name="XR00134">
    <vt:lpwstr>.18.2</vt:lpwstr>
  </property>
  <property fmtid="{D5CDD505-2E9C-101B-9397-08002B2CF9AE}" pid="22" name="XR00135">
    <vt:lpwstr>.18.2.1</vt:lpwstr>
  </property>
  <property fmtid="{D5CDD505-2E9C-101B-9397-08002B2CF9AE}" pid="23" name="XR00136">
    <vt:lpwstr>.19.4</vt:lpwstr>
  </property>
  <property fmtid="{D5CDD505-2E9C-101B-9397-08002B2CF9AE}" pid="24" name="XRF00001">
    <vt:lpwstr>DNVGL-ST-0029 Maritime Training Providers (2017, amended  Nov. 2021)</vt:lpwstr>
  </property>
  <property fmtid="{D5CDD505-2E9C-101B-9397-08002B2CF9AE}" pid="25" name="XRF00007">
    <vt:lpwstr>Management responsibility</vt:lpwstr>
  </property>
  <property fmtid="{D5CDD505-2E9C-101B-9397-08002B2CF9AE}" pid="26" name="XRF00066">
    <vt:lpwstr>Forskrift om høyere yrkesfaglig utdanning ved Trøndelag høyere yrkesfagskole</vt:lpwstr>
  </property>
  <property fmtid="{D5CDD505-2E9C-101B-9397-08002B2CF9AE}" pid="27" name="XRF00115">
    <vt:lpwstr>Melde avvik/forbedringsforslag</vt:lpwstr>
  </property>
  <property fmtid="{D5CDD505-2E9C-101B-9397-08002B2CF9AE}" pid="28" name="XRF00117">
    <vt:lpwstr>Saksbehandling</vt:lpwstr>
  </property>
  <property fmtid="{D5CDD505-2E9C-101B-9397-08002B2CF9AE}" pid="29" name="XRF00118">
    <vt:lpwstr>Veileder til elektronisk avviks- og forbedringsforslag</vt:lpwstr>
  </property>
  <property fmtid="{D5CDD505-2E9C-101B-9397-08002B2CF9AE}" pid="30" name="XRF00121">
    <vt:lpwstr>Rutine for varsling av kritikkverdige forhold i Trøndelag fylkeskommune</vt:lpwstr>
  </property>
  <property fmtid="{D5CDD505-2E9C-101B-9397-08002B2CF9AE}" pid="31" name="XRF00124">
    <vt:lpwstr>THYF -  Aktuelle lover og forskrifter</vt:lpwstr>
  </property>
  <property fmtid="{D5CDD505-2E9C-101B-9397-08002B2CF9AE}" pid="32" name="XRF00125">
    <vt:lpwstr>Trøndelag høyere yrkesfagskole</vt:lpwstr>
  </property>
  <property fmtid="{D5CDD505-2E9C-101B-9397-08002B2CF9AE}" pid="33" name="XRF00134">
    <vt:lpwstr>HMS-lovgivning</vt:lpwstr>
  </property>
  <property fmtid="{D5CDD505-2E9C-101B-9397-08002B2CF9AE}" pid="34" name="XRF00135">
    <vt:lpwstr>Arbeidsmiljøloven, Kapittel 2 A. Varsling</vt:lpwstr>
  </property>
  <property fmtid="{D5CDD505-2E9C-101B-9397-08002B2CF9AE}" pid="35" name="XRF00136">
    <vt:lpwstr>Visjon, mål og kvalitetspolitikk</vt:lpwstr>
  </property>
  <property fmtid="{D5CDD505-2E9C-101B-9397-08002B2CF9AE}" pid="36" name="XRL00001">
    <vt:lpwstr> DNVGL-ST-0029 Maritime Training Providers (2017, amended  Nov. 2021)</vt:lpwstr>
  </property>
  <property fmtid="{D5CDD505-2E9C-101B-9397-08002B2CF9AE}" pid="37" name="XRL00007">
    <vt:lpwstr>2.1 Management responsibility</vt:lpwstr>
  </property>
  <property fmtid="{D5CDD505-2E9C-101B-9397-08002B2CF9AE}" pid="38" name="XRL00066">
    <vt:lpwstr> Forskrift om høyere yrkesfaglig utdanning ved Trøndelag høyere yrkesfagskole</vt:lpwstr>
  </property>
  <property fmtid="{D5CDD505-2E9C-101B-9397-08002B2CF9AE}" pid="39" name="XRL00115">
    <vt:lpwstr>15501 Melde avvik/forbedringsforslag</vt:lpwstr>
  </property>
  <property fmtid="{D5CDD505-2E9C-101B-9397-08002B2CF9AE}" pid="40" name="XRL00117">
    <vt:lpwstr>15503 Saksbehandling</vt:lpwstr>
  </property>
  <property fmtid="{D5CDD505-2E9C-101B-9397-08002B2CF9AE}" pid="41" name="XRL00118">
    <vt:lpwstr>15504 Veileder til elektronisk avviks- og forbedringsforslag</vt:lpwstr>
  </property>
  <property fmtid="{D5CDD505-2E9C-101B-9397-08002B2CF9AE}" pid="42" name="XRL00121">
    <vt:lpwstr>15506 Rutine for varsling av kritikkverdige forhold i Trøndelag fylkeskommune</vt:lpwstr>
  </property>
  <property fmtid="{D5CDD505-2E9C-101B-9397-08002B2CF9AE}" pid="43" name="XRL00124">
    <vt:lpwstr>.18 THYF -  Aktuelle lover og forskrifter</vt:lpwstr>
  </property>
  <property fmtid="{D5CDD505-2E9C-101B-9397-08002B2CF9AE}" pid="44" name="XRL00125">
    <vt:lpwstr>.19 Trøndelag høyere yrkesfagskole</vt:lpwstr>
  </property>
  <property fmtid="{D5CDD505-2E9C-101B-9397-08002B2CF9AE}" pid="45" name="XRL00134">
    <vt:lpwstr>.18.2 HMS-lovgivning</vt:lpwstr>
  </property>
  <property fmtid="{D5CDD505-2E9C-101B-9397-08002B2CF9AE}" pid="46" name="XRL00135">
    <vt:lpwstr>.18.2.1 Arbeidsmiljøloven, Kapittel 2 A. Varsling</vt:lpwstr>
  </property>
  <property fmtid="{D5CDD505-2E9C-101B-9397-08002B2CF9AE}" pid="47" name="XRL00136">
    <vt:lpwstr>.19.4 Visjon, mål og kvalitetspolitikk</vt:lpwstr>
  </property>
  <property fmtid="{D5CDD505-2E9C-101B-9397-08002B2CF9AE}" pid="48" name="XRT00001">
    <vt:lpwstr>DNVGL-ST-0029 Maritime Training Providers (2017, amended  Nov. 2021)</vt:lpwstr>
  </property>
  <property fmtid="{D5CDD505-2E9C-101B-9397-08002B2CF9AE}" pid="49" name="XRT00007">
    <vt:lpwstr>Management responsibility</vt:lpwstr>
  </property>
  <property fmtid="{D5CDD505-2E9C-101B-9397-08002B2CF9AE}" pid="50" name="XRT00066">
    <vt:lpwstr>Forskrift om høyere yrkesfaglig utdanning ved Trøndelag høyere yrkesfagskole</vt:lpwstr>
  </property>
  <property fmtid="{D5CDD505-2E9C-101B-9397-08002B2CF9AE}" pid="51" name="XRT00115">
    <vt:lpwstr>Melde avvik/forbedringsforslag</vt:lpwstr>
  </property>
  <property fmtid="{D5CDD505-2E9C-101B-9397-08002B2CF9AE}" pid="52" name="XRT00117">
    <vt:lpwstr>Saksbehandling</vt:lpwstr>
  </property>
  <property fmtid="{D5CDD505-2E9C-101B-9397-08002B2CF9AE}" pid="53" name="XRT00118">
    <vt:lpwstr>Veileder til elektronisk avviks- og forbedringsforslag</vt:lpwstr>
  </property>
  <property fmtid="{D5CDD505-2E9C-101B-9397-08002B2CF9AE}" pid="54" name="XRT00121">
    <vt:lpwstr>Rutine for varsling av kritikkverdige forhold i Trøndelag fylkeskommune</vt:lpwstr>
  </property>
  <property fmtid="{D5CDD505-2E9C-101B-9397-08002B2CF9AE}" pid="55" name="XRT00124">
    <vt:lpwstr>THYF -  Aktuelle lover og forskrifter</vt:lpwstr>
  </property>
  <property fmtid="{D5CDD505-2E9C-101B-9397-08002B2CF9AE}" pid="56" name="XRT00125">
    <vt:lpwstr>Trøndelag høyere yrkesfagskole</vt:lpwstr>
  </property>
  <property fmtid="{D5CDD505-2E9C-101B-9397-08002B2CF9AE}" pid="57" name="XRT00134">
    <vt:lpwstr>HMS-lovgivning</vt:lpwstr>
  </property>
  <property fmtid="{D5CDD505-2E9C-101B-9397-08002B2CF9AE}" pid="58" name="XRT00135">
    <vt:lpwstr>Arbeidsmiljøloven, Kapittel 2 A. Varsling</vt:lpwstr>
  </property>
  <property fmtid="{D5CDD505-2E9C-101B-9397-08002B2CF9AE}" pid="59" name="XRT00136">
    <vt:lpwstr>Visjon, mål og kvalitetspolitikk</vt:lpwstr>
  </property>
</Properties>
</file>