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70172EBA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14:paraId="70172EB8" w14:textId="77777777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70172EB9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1.1.4</w:t>
            </w:r>
            <w:r>
              <w:rPr>
                <w:sz w:val="16"/>
              </w:rPr>
              <w:fldChar w:fldCharType="end"/>
            </w:r>
          </w:p>
        </w:tc>
      </w:tr>
      <w:tr w14:paraId="70172EBD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70172EBB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INTERESSENTANALYSE THYF med hovedvekt på maritime linjer.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70172EBC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Vedlegg</w:t>
            </w:r>
            <w:r>
              <w:fldChar w:fldCharType="end"/>
            </w:r>
          </w:p>
        </w:tc>
      </w:tr>
      <w:tr w14:paraId="70172EC8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70172EBE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70172EBF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3.03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0172EC0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70172EC1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WARA/MIHA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0172EC2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70172EC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27.03.2024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0172EC4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70172EC5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[]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70172EC6" w14:textId="77777777">
            <w:pPr>
              <w:rPr>
                <w:sz w:val="20"/>
              </w:rPr>
            </w:pPr>
            <w:r>
              <w:rPr>
                <w:sz w:val="16"/>
              </w:rPr>
              <w:t>Sidenr</w:t>
            </w:r>
            <w:r>
              <w:rPr>
                <w:sz w:val="16"/>
              </w:rPr>
              <w:t>:</w:t>
            </w:r>
          </w:p>
          <w:p w:rsidR="001C0FFA" w14:paraId="70172EC7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11</w:t>
            </w:r>
            <w:r>
              <w:rPr>
                <w:sz w:val="20"/>
              </w:rPr>
              <w:fldChar w:fldCharType="end"/>
            </w:r>
          </w:p>
        </w:tc>
      </w:tr>
    </w:tbl>
    <w:p w:rsidR="00866F7E" w:rsidRPr="00B33900" w:rsidP="00671896" w14:paraId="70172ECA" w14:textId="2D0F8980">
      <w:pPr>
        <w:pStyle w:val="Heading1"/>
        <w:numPr>
          <w:ilvl w:val="0"/>
          <w:numId w:val="2"/>
        </w:numPr>
      </w:pPr>
      <w:r>
        <w:t>Identifisering av interessenter:</w:t>
      </w:r>
      <w:r w:rsidRPr="00866F7E">
        <w:rPr>
          <w:noProof/>
        </w:rPr>
        <w:t xml:space="preserve"> </w:t>
      </w:r>
    </w:p>
    <w:p w:rsidR="00324C16" w:rsidP="00866F7E" w14:paraId="70172ECB" w14:textId="5BC5E58B">
      <w:pPr>
        <w:jc w:val="center"/>
      </w:pPr>
    </w:p>
    <w:p w:rsidR="00866F7E" w:rsidP="00866F7E" w14:paraId="70172ECC" w14:textId="300B6E3F">
      <w:pPr>
        <w:sectPr w:rsidSect="00866F7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282.75pt">
            <v:imagedata r:id="rId11" o:title="THYF-TRH Revisjon interessentidentifikasjon maritime linjer 2022.04.13"/>
          </v:shape>
        </w:pict>
      </w:r>
    </w:p>
    <w:p w:rsidR="00866F7E" w:rsidP="00671896" w14:paraId="70172ECD" w14:textId="2B4E77CA">
      <w:pPr>
        <w:pStyle w:val="Heading1"/>
        <w:numPr>
          <w:ilvl w:val="0"/>
          <w:numId w:val="2"/>
        </w:numPr>
      </w:pPr>
      <w:r>
        <w:t>Matrise for analyse av interessenter:</w:t>
      </w:r>
    </w:p>
    <w:p w:rsidR="00866F7E" w:rsidP="00866F7E" w14:paraId="70172ECE" w14:textId="77777777"/>
    <w:p w:rsidR="00866F7E" w:rsidRPr="00A257F5" w:rsidP="00866F7E" w14:paraId="70172ECF" w14:textId="77777777"/>
    <w:p w:rsidR="00866F7E" w:rsidP="00866F7E" w14:paraId="70172ED0" w14:textId="77777777">
      <w:pPr>
        <w:pStyle w:val="Heading1"/>
        <w:jc w:val="center"/>
      </w:pPr>
      <w:r>
        <w:rPr>
          <w:noProof/>
        </w:rPr>
        <w:pict>
          <v:shape id="Bilde 3" o:spid="_x0000_i1026" type="#_x0000_t75" style="width:399.75pt;height:267pt;visibility:visible">
            <v:imagedata r:id="rId12" o:title=""/>
          </v:shape>
        </w:pict>
      </w:r>
    </w:p>
    <w:p w:rsidR="00866F7E" w:rsidP="00866F7E" w14:paraId="70172ED1" w14:textId="77777777"/>
    <w:p w:rsidR="00866F7E" w:rsidP="00866F7E" w14:paraId="70172ED2" w14:textId="77777777"/>
    <w:tbl>
      <w:tblPr>
        <w:tblW w:w="0" w:type="auto"/>
        <w:jc w:val="center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/>
      </w:tblPr>
      <w:tblGrid>
        <w:gridCol w:w="3937"/>
        <w:gridCol w:w="3933"/>
      </w:tblGrid>
      <w:tr w14:paraId="70172EDB" w14:textId="77777777" w:rsidTr="000C444E">
        <w:tblPrEx>
          <w:tblW w:w="0" w:type="auto"/>
          <w:jc w:val="center"/>
          <w:tblBorders>
            <w:top w:val="single" w:sz="4" w:space="0" w:color="8EAADB"/>
            <w:bottom w:val="single" w:sz="4" w:space="0" w:color="8EAADB"/>
            <w:insideH w:val="single" w:sz="4" w:space="0" w:color="8EAADB"/>
          </w:tblBorders>
          <w:tblLook w:val="04A0"/>
        </w:tblPrEx>
        <w:trPr>
          <w:trHeight w:val="2513"/>
          <w:jc w:val="center"/>
        </w:trPr>
        <w:tc>
          <w:tcPr>
            <w:tcW w:w="393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66F7E" w:rsidRPr="000C444E" w:rsidP="000C444E" w14:paraId="70172ED3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D4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Viktig å tilfredsstille: </w:t>
            </w:r>
          </w:p>
          <w:p w:rsidR="00866F7E" w:rsidRPr="000C444E" w:rsidP="000C444E" w14:paraId="70172ED5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D6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sz w:val="22"/>
                <w:szCs w:val="22"/>
              </w:rPr>
              <w:t xml:space="preserve">Disse har stor innflytelse, men liten interesse av daglig drift. Disse er </w:t>
            </w:r>
            <w:r w:rsidRPr="000C444E">
              <w:rPr>
                <w:rFonts w:ascii="Calibri" w:eastAsia="Calibri" w:hAnsi="Calibri"/>
                <w:sz w:val="22"/>
                <w:szCs w:val="22"/>
              </w:rPr>
              <w:t>det viktig å tilfredsstille i dokumentasjon og utførelse.</w:t>
            </w:r>
          </w:p>
        </w:tc>
        <w:tc>
          <w:tcPr>
            <w:tcW w:w="393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866F7E" w:rsidRPr="000C444E" w:rsidP="000C444E" w14:paraId="70172ED7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D8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sz w:val="22"/>
                <w:szCs w:val="22"/>
              </w:rPr>
              <w:t>Nøkkelroller som må engasjeres:</w:t>
            </w:r>
          </w:p>
          <w:p w:rsidR="00866F7E" w:rsidRPr="000C444E" w:rsidP="000C444E" w14:paraId="70172ED9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DA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sz w:val="22"/>
                <w:szCs w:val="22"/>
              </w:rPr>
              <w:t>Disse har både stor innflytelse og stor interesse av den daglige driften. De bør tilfredsstilles og engasjeres i sitt daglige arbeid.</w:t>
            </w:r>
          </w:p>
        </w:tc>
      </w:tr>
      <w:tr w14:paraId="70172EE5" w14:textId="77777777" w:rsidTr="000C444E">
        <w:tblPrEx>
          <w:tblW w:w="0" w:type="auto"/>
          <w:jc w:val="center"/>
          <w:tblLook w:val="04A0"/>
        </w:tblPrEx>
        <w:trPr>
          <w:trHeight w:val="2537"/>
          <w:jc w:val="center"/>
        </w:trPr>
        <w:tc>
          <w:tcPr>
            <w:tcW w:w="393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E2F3"/>
          </w:tcPr>
          <w:p w:rsidR="00866F7E" w:rsidRPr="000C444E" w:rsidP="000C444E" w14:paraId="70172EDC" w14:textId="77777777">
            <w:pPr>
              <w:tabs>
                <w:tab w:val="left" w:pos="1185"/>
              </w:tabs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DD" w14:textId="77777777">
            <w:pPr>
              <w:tabs>
                <w:tab w:val="left" w:pos="1185"/>
              </w:tabs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Ikke bruke mye ressurser: </w:t>
            </w:r>
          </w:p>
          <w:p w:rsidR="00866F7E" w:rsidRPr="000C444E" w:rsidP="000C444E" w14:paraId="70172EDE" w14:textId="77777777">
            <w:pPr>
              <w:tabs>
                <w:tab w:val="left" w:pos="1185"/>
              </w:tabs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DF" w14:textId="77777777">
            <w:pPr>
              <w:tabs>
                <w:tab w:val="left" w:pos="1185"/>
              </w:tabs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sz w:val="22"/>
                <w:szCs w:val="22"/>
              </w:rPr>
              <w:t>Dette er personer, grupper og virksomheter du bør følge opp, men ikke bruke mye ressurser på i kommunikasjonsarbeidet</w:t>
            </w:r>
          </w:p>
        </w:tc>
        <w:tc>
          <w:tcPr>
            <w:tcW w:w="393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E2F3"/>
          </w:tcPr>
          <w:p w:rsidR="00866F7E" w:rsidRPr="000C444E" w:rsidP="000C444E" w14:paraId="70172EE0" w14:textId="7777777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866F7E" w:rsidRPr="000C444E" w:rsidP="000C444E" w14:paraId="70172EE1" w14:textId="77777777">
            <w:pPr>
              <w:rPr>
                <w:rFonts w:ascii="Calibri" w:eastAsia="Calibri" w:hAnsi="Calibri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sz w:val="22"/>
                <w:szCs w:val="22"/>
              </w:rPr>
              <w:t>Bør holdes informert:</w:t>
            </w:r>
            <w:r w:rsidRPr="000C444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  <w:p w:rsidR="00866F7E" w:rsidRPr="000C444E" w:rsidP="000C444E" w14:paraId="70172EE2" w14:textId="7777777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66F7E" w:rsidRPr="000C444E" w:rsidP="000C444E" w14:paraId="70172EE3" w14:textId="77777777">
            <w:pPr>
              <w:rPr>
                <w:rFonts w:ascii="Calibri" w:eastAsia="Calibri" w:hAnsi="Calibri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sz w:val="22"/>
                <w:szCs w:val="22"/>
              </w:rPr>
              <w:t xml:space="preserve">Interessenter som er interessert, men har liten innflytelse. De kan ha nyttig informasjon, og bør holdes </w:t>
            </w:r>
            <w:r w:rsidRPr="000C444E">
              <w:rPr>
                <w:rFonts w:ascii="Calibri" w:eastAsia="Calibri" w:hAnsi="Calibri"/>
                <w:sz w:val="22"/>
                <w:szCs w:val="22"/>
              </w:rPr>
              <w:t>informert</w:t>
            </w:r>
          </w:p>
          <w:p w:rsidR="00866F7E" w:rsidRPr="000C444E" w:rsidP="000C444E" w14:paraId="70172EE4" w14:textId="777777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66F7E" w:rsidP="00866F7E" w14:paraId="70172EE6" w14:textId="77777777"/>
    <w:p w:rsidR="00866F7E" w:rsidP="00866F7E" w14:paraId="70172EE7" w14:textId="77777777">
      <w:pPr>
        <w:sectPr w:rsidSect="000C44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66F7E" w:rsidP="00671896" w14:paraId="70172EE8" w14:textId="76D11B20">
      <w:pPr>
        <w:pStyle w:val="Heading1"/>
        <w:numPr>
          <w:ilvl w:val="0"/>
          <w:numId w:val="2"/>
        </w:numPr>
      </w:pPr>
      <w:r>
        <w:t>Interessentanalyse</w:t>
      </w:r>
    </w:p>
    <w:p w:rsidR="00866F7E" w:rsidRPr="00EC7FCB" w:rsidP="00866F7E" w14:paraId="70172EE9" w14:textId="77777777"/>
    <w:tbl>
      <w:tblPr>
        <w:tblW w:w="0" w:type="auto"/>
        <w:tblInd w:w="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2117"/>
        <w:gridCol w:w="2500"/>
        <w:gridCol w:w="1190"/>
        <w:gridCol w:w="1276"/>
        <w:gridCol w:w="3085"/>
        <w:gridCol w:w="4536"/>
      </w:tblGrid>
      <w:tr w14:paraId="70172EF4" w14:textId="77777777" w:rsidTr="001D3850">
        <w:tblPrEx>
          <w:tblW w:w="0" w:type="auto"/>
          <w:tblInd w:w="5" w:type="dxa"/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  <w:tblLook w:val="04A0"/>
        </w:tblPrEx>
        <w:trPr>
          <w:tblHeader/>
        </w:trPr>
        <w:tc>
          <w:tcPr>
            <w:tcW w:w="2117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:rsidR="00866F7E" w:rsidRPr="000C444E" w:rsidP="00671896" w14:paraId="70172EEA" w14:textId="77777777">
            <w:pPr>
              <w:rPr>
                <w:rFonts w:ascii="Calibri" w:eastAsia="Calibri" w:hAnsi="Calibri"/>
                <w:b/>
                <w:bCs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i/>
                <w:iCs/>
                <w:color w:val="2F5496"/>
                <w:sz w:val="22"/>
                <w:szCs w:val="22"/>
              </w:rPr>
              <w:t>Interessent THYF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66F7E" w:rsidRPr="000C444E" w:rsidP="00671896" w14:paraId="70172EEB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Hvorfor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66F7E" w:rsidRPr="000C444E" w:rsidP="00671896" w14:paraId="70172EEC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Interesse</w:t>
            </w:r>
          </w:p>
          <w:p w:rsidR="00866F7E" w:rsidRPr="000C444E" w:rsidP="00671896" w14:paraId="70172EED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A–D</w:t>
            </w:r>
          </w:p>
          <w:p w:rsidR="00866F7E" w:rsidRPr="000C444E" w:rsidP="00671896" w14:paraId="70172EEE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(Lav -Høy)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66F7E" w:rsidRPr="000C444E" w:rsidP="00671896" w14:paraId="70172EEF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Innflytelse</w:t>
            </w:r>
          </w:p>
          <w:p w:rsidR="00866F7E" w:rsidRPr="000C444E" w:rsidP="00671896" w14:paraId="70172EF0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1–4</w:t>
            </w:r>
          </w:p>
          <w:p w:rsidR="00866F7E" w:rsidRPr="000C444E" w:rsidP="00671896" w14:paraId="70172EF1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(Lav – Høy)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66F7E" w:rsidRPr="000C444E" w:rsidP="00671896" w14:paraId="70172EF2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Forventninger / Innflytelse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66F7E" w:rsidRPr="000C444E" w:rsidP="00671896" w14:paraId="70172EF3" w14:textId="77777777">
            <w:pPr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b/>
                <w:bCs/>
                <w:color w:val="2F5496"/>
                <w:sz w:val="22"/>
                <w:szCs w:val="22"/>
              </w:rPr>
              <w:t>Muligheter/Trusler Strategi for å redusere hindringer eller oppnå støtte</w:t>
            </w:r>
          </w:p>
        </w:tc>
      </w:tr>
      <w:tr w14:paraId="70172F05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EF5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NOKUT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EF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Tildeler godkjenning og akkreditering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EF7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EF8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EF9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stor innflytelse, men liten interesse av daglig drift. Disse er det viktig å tilfredsstille i dokumentasjon og utførelse.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EF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Ved utvikling og gjennomgang av nye tilbud skal følgende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gjennomføres:</w:t>
            </w:r>
          </w:p>
          <w:p w:rsidR="00866F7E" w:rsidRPr="000C444E" w:rsidP="000C444E" w14:paraId="70172EFB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RPr="000C444E" w:rsidP="000C444E" w14:paraId="70172EF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• Vurdere om resultatet oppfyller kravene og / eller kundens forventninger</w:t>
            </w:r>
          </w:p>
          <w:p w:rsidR="00866F7E" w:rsidRPr="000C444E" w:rsidP="000C444E" w14:paraId="70172EFD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RPr="000C444E" w:rsidP="000C444E" w14:paraId="70172EFE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• Identifisere eventuelle problemer og foreslå nødvendige tiltak.</w:t>
            </w:r>
          </w:p>
          <w:p w:rsidR="00866F7E" w:rsidRPr="000C444E" w:rsidP="000C444E" w14:paraId="70172EF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RPr="000C444E" w:rsidP="000C444E" w14:paraId="70172F00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Det vil være en kontakt mellom NOKUT og skolen i utviklingsfasen. NOKUT vil sette ned en egen sakk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yndig komité som gjennomgår søknaden og de kriteriene som skal være på plass når </w:t>
            </w:r>
          </w:p>
          <w:p w:rsidR="00866F7E" w:rsidRPr="000C444E" w:rsidP="000C444E" w14:paraId="70172F01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det gjelder det faglige. </w:t>
            </w:r>
          </w:p>
          <w:p w:rsidR="00866F7E" w:rsidRPr="000C444E" w:rsidP="000C444E" w14:paraId="70172F0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RPr="000C444E" w:rsidP="000C444E" w14:paraId="70172F0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Skolen må forholde seg til resultatene som blir funnet og tiltak må </w:t>
            </w:r>
          </w:p>
          <w:p w:rsidR="00866F7E" w:rsidRPr="000C444E" w:rsidP="000C444E" w14:paraId="70172F04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opprettholdes.</w:t>
            </w:r>
          </w:p>
        </w:tc>
      </w:tr>
      <w:tr w14:paraId="70172F0F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06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Sjøfartsdirektoratet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07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Utstede sertifikater for sjøfolk og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føre tilsyn med norske utdanningsinstitusjoner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08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09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0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stor innflytelse, men liten interesse av daglig drift. Disse er det viktig å tilfredsstille i dokumentasjon og utførelse.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0B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Endringer i tilbudsstruktur opp mot </w:t>
            </w:r>
          </w:p>
          <w:p w:rsidR="003408B8" w:rsidRPr="000C444E" w:rsidP="006F18B0" w14:paraId="70172F0E" w14:textId="531F0ABF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Sjøfartsdirektoratet og NOKUT. Det vil typisk være endringer i læringsutbyttet, studiested, </w:t>
            </w:r>
            <w:r w:rsidR="006F18B0">
              <w:rPr>
                <w:rFonts w:ascii="Calibri" w:eastAsia="Calibri" w:hAnsi="Calibri"/>
                <w:color w:val="2F5496"/>
                <w:sz w:val="22"/>
                <w:szCs w:val="22"/>
              </w:rPr>
              <w:t>n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avn</w:t>
            </w:r>
            <w:r w:rsidR="006F18B0">
              <w:rPr>
                <w:rFonts w:ascii="Calibri" w:eastAsia="Calibri" w:hAnsi="Calibri"/>
                <w:color w:val="2F5496"/>
                <w:sz w:val="22"/>
                <w:szCs w:val="22"/>
              </w:rPr>
              <w:t>, regelverk og konvensjoner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. Dette er beskrevet i «Rutine for endring av godkjent tilbud»</w:t>
            </w:r>
          </w:p>
        </w:tc>
      </w:tr>
      <w:tr w14:paraId="70172F17" w14:textId="77777777" w:rsidTr="001D3850">
        <w:tblPrEx>
          <w:tblW w:w="0" w:type="auto"/>
          <w:tblInd w:w="5" w:type="dxa"/>
          <w:tblLook w:val="04A0"/>
        </w:tblPrEx>
        <w:trPr>
          <w:trHeight w:val="1395"/>
        </w:trPr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10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DNV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11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Rettleder, godkjenner og kontrollerer kvalitetssystemet. 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12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13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F14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Interessenter som er interessert, men har liten innflytelse. De kan ha nyttig informasjon, og bør holdes informert</w:t>
            </w:r>
          </w:p>
        </w:tc>
        <w:tc>
          <w:tcPr>
            <w:tcW w:w="4536" w:type="dxa"/>
            <w:shd w:val="clear" w:color="auto" w:fill="D9E2F3"/>
          </w:tcPr>
          <w:p w:rsidR="00866F7E" w:rsidRPr="006F18B0" w:rsidP="000C444E" w14:paraId="70172F15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  <w:lang w:val="en-GB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Utarbeide og vedlikeholde kvalitetsdokumenter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ihht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. </w:t>
            </w:r>
            <w:r w:rsidRPr="006F18B0">
              <w:rPr>
                <w:rFonts w:ascii="Calibri" w:eastAsia="Calibri" w:hAnsi="Calibri"/>
                <w:color w:val="2F5496"/>
                <w:sz w:val="22"/>
                <w:szCs w:val="22"/>
                <w:lang w:val="en-GB"/>
              </w:rPr>
              <w:t xml:space="preserve">DNV ST-0029 Maritime training providers. </w:t>
            </w:r>
          </w:p>
          <w:p w:rsidR="00866F7E" w:rsidRPr="000C444E" w:rsidP="000C444E" w14:paraId="70172F1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Kurse egent personell og delta på seminarer knyttet til DNV ST- 0029.</w:t>
            </w:r>
          </w:p>
        </w:tc>
      </w:tr>
      <w:tr w14:paraId="70172F20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18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Telenor Kystradio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19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Godkjenner og kontrollerer GOC undervisningen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1A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1B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1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Dette er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personer, grupper og virksomheter du bør følge opp, men ikke bruke mye ressurser på i kommunikasjonsarbeidet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1D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Årlig GOC seminar. </w:t>
            </w:r>
          </w:p>
          <w:p w:rsidR="00866F7E" w:rsidRPr="000C444E" w:rsidP="000C444E" w14:paraId="70172F1E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Benytt oppdatert planverk utgitt av Telenor Kystradio.</w:t>
            </w:r>
          </w:p>
          <w:p w:rsidR="00866F7E" w:rsidRPr="000C444E" w:rsidP="000C444E" w14:paraId="70172F1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Opprettholde fokus på årlige internrevisjoner.</w:t>
            </w:r>
          </w:p>
        </w:tc>
      </w:tr>
      <w:tr w14:paraId="70172F29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21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S</w:t>
            </w:r>
            <w:r w:rsidRPr="000C444E" w:rsidR="005F01D6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tyret</w:t>
            </w:r>
            <w: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 xml:space="preserve"> for Trøndelag høyere yrkesfagskole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2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Øverste ansvarlige styringsorgan.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23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24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F25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både stor innflytelse og stor 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2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Når det gjelder endringer på Fylkesnivå vedtas dette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politisk av Fylkestinget i Trøndelag. Slike vedtak effektueres av fylkes</w:t>
            </w:r>
            <w:r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>direktøren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 i dialog og samarbeid med st</w:t>
            </w:r>
            <w:r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>y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ret for Trøndelag</w:t>
            </w:r>
            <w:r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 høyere yrkes</w:t>
            </w:r>
            <w:r w:rsidRPr="000C444E"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>fagskole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.</w:t>
            </w:r>
          </w:p>
          <w:p w:rsidR="00866F7E" w:rsidRPr="000C444E" w:rsidP="000C444E" w14:paraId="70172F27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RPr="000C444E" w:rsidP="000C444E" w14:paraId="70172F28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Utarbeides god dokumentasjon til styremøter slik at styret har godt beslutningsgrunnlag for strategiske planer. </w:t>
            </w:r>
          </w:p>
        </w:tc>
      </w:tr>
      <w:tr w14:paraId="70172F34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2A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Trøndelag Fylkeskommune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2B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Eier av Fagskolen</w:t>
            </w:r>
          </w:p>
          <w:p w:rsidR="00866F7E" w:rsidRPr="000C444E" w:rsidP="000C444E" w14:paraId="70172F2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RPr="000C444E" w:rsidP="000C444E" w14:paraId="70172F2D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Kunde av kompetansebygging i befolkningen. 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2E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2F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30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Disse har både stor innflytelse og stor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31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Når det gjelder endringer på Fylkesnivå vedtas dette politisk av Fylkestinget i Trøndelag. Slike vedtak effektueres av fylkes</w:t>
            </w:r>
            <w:r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>direktør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en i dialog og samarbeid med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st</w:t>
            </w:r>
            <w:r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>y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ret for Trøndelag</w:t>
            </w:r>
            <w:r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 høyere yrkes</w:t>
            </w:r>
            <w:r w:rsidRPr="000C444E" w:rsidR="003408B8">
              <w:rPr>
                <w:rFonts w:ascii="Calibri" w:eastAsia="Calibri" w:hAnsi="Calibri"/>
                <w:color w:val="2F5496"/>
                <w:sz w:val="22"/>
                <w:szCs w:val="22"/>
              </w:rPr>
              <w:t>fagskole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.</w:t>
            </w:r>
          </w:p>
          <w:p w:rsidR="00866F7E" w:rsidRPr="000C444E" w:rsidP="000C444E" w14:paraId="70172F3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  <w:p w:rsidR="00866F7E" w:rsidP="000C444E" w14:paraId="4605646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Tilfredsstille fylkets kompetansebehov for høyere yrkesfaglig kompetanse.</w:t>
            </w:r>
          </w:p>
          <w:p w:rsidR="001D3850" w:rsidRPr="000C444E" w:rsidP="000C444E" w14:paraId="70172F33" w14:textId="68EC22F1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</w:tc>
      </w:tr>
      <w:tr w14:paraId="70172F3C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35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Avdelingsleder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3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Har ansvaret for daglig drift og </w:t>
            </w:r>
          </w:p>
          <w:p w:rsidR="00866F7E" w:rsidRPr="000C444E" w:rsidP="000C444E" w14:paraId="70172F37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utviklingsarbeid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38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39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F3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H</w:t>
            </w:r>
            <w:r w:rsidRPr="000C444E" w:rsidR="005F01D6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ar både stor innflytelse og stor interesse av den daglige </w:t>
            </w:r>
            <w:r w:rsidRPr="000C444E" w:rsidR="005F01D6">
              <w:rPr>
                <w:rFonts w:ascii="Calibri" w:eastAsia="Calibri" w:hAnsi="Calibri"/>
                <w:color w:val="2F5496"/>
                <w:sz w:val="22"/>
                <w:szCs w:val="22"/>
              </w:rPr>
              <w:t>driften. De bør tilfredsstilles og engasjeres i sitt daglige arbeid.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3B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Informasjon gjennom fastsatte kommunikasjonskanaler</w:t>
            </w:r>
          </w:p>
        </w:tc>
      </w:tr>
      <w:tr w14:paraId="70172F44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3D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Rektor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3E" w14:textId="4080AD10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Rektor har det overordnede ansvaret for alle aktivitetene </w:t>
            </w:r>
            <w:r w:rsidR="001D3850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ved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Trøndelag høyere yrkesfagskole, </w:t>
            </w:r>
          </w:p>
          <w:p w:rsidR="00866F7E" w:rsidRPr="000C444E" w:rsidP="000C444E" w14:paraId="70172F3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avdeling Trondheim.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40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41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4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H</w:t>
            </w:r>
            <w:r w:rsidRPr="000C444E" w:rsidR="005F01D6">
              <w:rPr>
                <w:rFonts w:ascii="Calibri" w:eastAsia="Calibri" w:hAnsi="Calibri"/>
                <w:color w:val="2F5496"/>
                <w:sz w:val="22"/>
                <w:szCs w:val="22"/>
              </w:rPr>
              <w:t>ar både stor innflytelse og stor 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4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Informasjon g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jennom fastsatte kommunikasjonskanaler</w:t>
            </w:r>
          </w:p>
        </w:tc>
      </w:tr>
      <w:tr w14:paraId="70172F4B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45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Felles Administrasjon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4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Støttefunksjon til rektor og avdelingsleder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47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48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F49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både stor innflytelse og stor 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4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Informasjon gjennom fastsatte kommunikasjonskanaler</w:t>
            </w:r>
          </w:p>
        </w:tc>
      </w:tr>
      <w:tr w14:paraId="70172F57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4C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Pedagogisk personell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4D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Lærernes ansvarsområde i all hovedsak undervisning, tilrettelegging og </w:t>
            </w:r>
          </w:p>
          <w:p w:rsidR="00866F7E" w:rsidRPr="000C444E" w:rsidP="000C444E" w14:paraId="70172F4E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arbeidsformer.</w:t>
            </w:r>
          </w:p>
          <w:p w:rsidR="00866F7E" w:rsidRPr="000C444E" w:rsidP="000C444E" w14:paraId="70172F4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Undervisningsformer og arbeidsmetoder skal være tilpasset studentenes forutsetninger og </w:t>
            </w:r>
          </w:p>
          <w:p w:rsidR="00866F7E" w:rsidRPr="000C444E" w:rsidP="000C444E" w14:paraId="70172F50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målene i emneplanen. Lærernes undervisningsformer og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studentenes arbeidsmetoder skal </w:t>
            </w:r>
          </w:p>
          <w:p w:rsidR="00866F7E" w:rsidRPr="000C444E" w:rsidP="000C444E" w14:paraId="70172F51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være varierte og bygge på den modenheten studentene har oppnådd som elev eller læ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rling i </w:t>
            </w:r>
          </w:p>
          <w:p w:rsidR="00866F7E" w:rsidRPr="000C444E" w:rsidP="000C444E" w14:paraId="70172F5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videregående opplæring.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53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54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55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både stor innflytelse og stor 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5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Utarbeid møteplan, felles Kvalitetsstyring system, Rettledning for faglærer,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felles prosedyrer, Medarbeidersamtaler, Utviklingsplaner for hver enkelt, kompetanseplan.</w:t>
            </w:r>
          </w:p>
        </w:tc>
      </w:tr>
      <w:tr w14:paraId="70172F61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58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Rederiene/NHO Sjøfart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59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THYF skal tilby studenter relevant kompetanse med høy kvalitet som gjør dem attraktive på arbeidsmarkedet og som fyller arbeidslivets nåværende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 og framtidige kompetansebehov.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5A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5B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F5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Dette er personer, grupper og virksomheter du bør følge opp, men ikke bruke mye ressurser på i kommunikasjonsarbeidet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5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color w:val="2F5496"/>
              </w:rPr>
            </w:pPr>
            <w:r w:rsidRPr="000C444E">
              <w:rPr>
                <w:color w:val="2F5496"/>
              </w:rPr>
              <w:t>Hospitering blant lærere.</w:t>
            </w:r>
          </w:p>
          <w:p w:rsidR="00866F7E" w:rsidRPr="000C444E" w:rsidP="000C444E" w14:paraId="70172F5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color w:val="2F5496"/>
              </w:rPr>
            </w:pPr>
            <w:r w:rsidRPr="000C444E">
              <w:rPr>
                <w:color w:val="2F5496"/>
              </w:rPr>
              <w:t>Innleie av forelesere fra bransjen.</w:t>
            </w:r>
          </w:p>
          <w:p w:rsidR="00866F7E" w:rsidRPr="000C444E" w:rsidP="000C444E" w14:paraId="70172F5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color w:val="2F5496"/>
              </w:rPr>
            </w:pPr>
            <w:r w:rsidRPr="000C444E">
              <w:rPr>
                <w:color w:val="2F5496"/>
              </w:rPr>
              <w:t xml:space="preserve">Utviklingsleder utarbeider </w:t>
            </w:r>
            <w:r w:rsidRPr="000C444E">
              <w:rPr>
                <w:color w:val="2F5496"/>
              </w:rPr>
              <w:t>kontakt med næringen.</w:t>
            </w:r>
          </w:p>
          <w:p w:rsidR="00866F7E" w:rsidRPr="000C444E" w:rsidP="000C444E" w14:paraId="70172F60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</w:tc>
      </w:tr>
      <w:tr w14:paraId="70172F69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62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Studenter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6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Alltid sette studenten i sentrum for vår virksomhet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64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65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6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både stor innflytelse og stor 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auto"/>
          </w:tcPr>
          <w:p w:rsidR="003408B8" w:rsidRPr="000C444E" w:rsidP="001D3850" w14:paraId="70172F68" w14:textId="237C20D2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I den tilrettelagte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undervisningen legges det opp til bruk av ulike pedagogiske tilnærminger for eksempel interaktiv læring ved bruk av IKT, dataprogrammer, internett, videoopptak, rollespill, øvelser, samtalegrupper, diskusjoner, veiledede grupper, forelesninger og nettstøtt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e ved bruk av Canvas som læringsplattform.</w:t>
            </w:r>
          </w:p>
        </w:tc>
      </w:tr>
      <w:tr w14:paraId="70172F70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6A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Trainor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6B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THYF kjøper </w:t>
            </w:r>
            <w:r w:rsidR="003B6A0E">
              <w:rPr>
                <w:rFonts w:ascii="Calibri" w:eastAsia="Calibri" w:hAnsi="Calibri"/>
                <w:color w:val="2F5496"/>
                <w:sz w:val="22"/>
                <w:szCs w:val="22"/>
              </w:rPr>
              <w:t>FSE-kurs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.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6C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6D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1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1D3850" w14:paraId="70172F6E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Dette er personer, grupper og virksomheter du bør følge opp, men ikke bruke mye ressurser på i kommunikasjonsarbeidet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6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Anbud, Kvalitetsgjennomgang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Revisjonsmuligheter, Kontrakt</w:t>
            </w:r>
          </w:p>
        </w:tc>
      </w:tr>
      <w:tr w14:paraId="70172F78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71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RESQ Kristiansund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7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Skolen kjøper </w:t>
            </w:r>
          </w:p>
          <w:p w:rsidR="00866F7E" w:rsidRPr="000C444E" w:rsidP="000C444E" w14:paraId="70172F7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videregående sikkerhetsopplæring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74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75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1D3850" w14:paraId="70172F76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Dette er personer, grupper og virksomheter du bør følge opp, men ikke bruke mye ressurser på i kommunikasjonsarbeidet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77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Anbud,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Kvalitetsgjennomgang Revisjonsmuligheter, Kontrakt</w:t>
            </w:r>
          </w:p>
        </w:tc>
      </w:tr>
      <w:tr w14:paraId="70172F7F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79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Wärtsila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7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Leverandør av laboratorieutstyr / bro og maskinsimulator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7B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7C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1D3850" w14:paraId="70172F7D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Dette er personer, grupper og virksomheter du bør følge opp, men ikke bruke mye ressurser på i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kommunikasjonsarbeidet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7E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Serviceavtale med brukerstøtte og opplæring av instruktører.</w:t>
            </w:r>
          </w:p>
        </w:tc>
      </w:tr>
      <w:tr w14:paraId="70172F86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80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Kongsberg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81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Leverandør av l laboratorieutstyr / Lastesimulator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82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83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1D3850" w14:paraId="70172F84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Dette er personer, grupper og virksomheter du bør følge opp, men ikke bruke mye ressurser på i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kommunikasjonsarbeidet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85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Serviceavtale med brukerstøtte og opplæring av instruktører.</w:t>
            </w:r>
          </w:p>
        </w:tc>
      </w:tr>
      <w:tr w14:paraId="70172F8F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87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Poseidon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88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Leverandør av GMDSS laboratorieutstyr /simulator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89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8A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D9E2F3"/>
          </w:tcPr>
          <w:p w:rsidR="003B6A0E" w:rsidRPr="000C444E" w:rsidP="001D3850" w14:paraId="70172F8D" w14:textId="6C03E23E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Dette er personer, grupper og virksomheter du bør følge opp, men ikke bruke mye ressurser på i kommunikasjons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arbeidet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8E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Serviceavtale med brukerstøtte og opplæring av instruktører.</w:t>
            </w:r>
          </w:p>
        </w:tc>
      </w:tr>
      <w:tr w14:paraId="70172F96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90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Argon Elektro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91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Service på laboratorieutstyr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92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93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1D3850" w14:paraId="70172F94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Dette er personer, grupper og virksomheter du bør følge opp, men ikke bruke mye ressurser på i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kommunikasjonsarbeidet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95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Serviceavtale.</w:t>
            </w:r>
          </w:p>
        </w:tc>
      </w:tr>
      <w:tr w14:paraId="70172F9D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97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Innkjøpstjenesten</w:t>
            </w:r>
            <w:r w:rsidR="003B6A0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 xml:space="preserve"> i Trøndelag fylkeskommune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98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Avdelingsleder er ansvarlig for innkjøp i sin avdeling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99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9A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1D3850" w14:paraId="70172F9B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både stor innflytelse og stor interesse av den daglige driften. De bør tilfredsstilles og engasjeres i s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itt daglige arbeid.</w:t>
            </w: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9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Utarbeid innkjøpsprosedyre, forholde seg til regelverk knyttet til offentlige innkjøp.</w:t>
            </w:r>
          </w:p>
        </w:tc>
      </w:tr>
      <w:tr w14:paraId="70172FAB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9E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Kontortjenesten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9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THYF leier inn kontortjenesten fra Byåsen videregående skole. Aktivitetene skal støtte opp </w:t>
            </w:r>
          </w:p>
          <w:p w:rsidR="00866F7E" w:rsidRPr="000C444E" w:rsidP="000C444E" w14:paraId="70172FA0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om elevenes, studentenes og de ansattes rammebetingelser slik at skolens pedagogiske- og </w:t>
            </w:r>
          </w:p>
          <w:p w:rsidR="003B6A0E" w:rsidRPr="000C444E" w:rsidP="001D3850" w14:paraId="70172FA5" w14:textId="6C0B4913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administrative funksjoner blir ivaretatt.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A6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A7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A8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Interessenter som er interessert, men har liten innflytelse. De kan ha nyttig informasjon, og bør holdes informert</w:t>
            </w:r>
          </w:p>
          <w:p w:rsidR="00866F7E" w:rsidRPr="000C444E" w:rsidP="000C444E" w14:paraId="70172FA9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A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THYF kjøper merkantile og administrative tjenester fra Byåsen videregående skole.</w:t>
            </w:r>
          </w:p>
        </w:tc>
      </w:tr>
      <w:tr w14:paraId="70172FB6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AC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Drift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AD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Aktiviteten skal legge til rette for at de ytre ram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mebetingelsene for læringsprosessen og </w:t>
            </w:r>
          </w:p>
          <w:p w:rsidR="00866F7E" w:rsidRPr="000C444E" w:rsidP="000C444E" w14:paraId="70172FAE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læringsmiljøet blir optimale ut fra skolens tilgjengelige ressurser.</w:t>
            </w:r>
          </w:p>
          <w:p w:rsidR="00866F7E" w:rsidRPr="000C444E" w:rsidP="000C444E" w14:paraId="70172FA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 denne stabsfunksjonen inngår vaktmester- og renholdstjenesten.</w:t>
            </w:r>
          </w:p>
          <w:p w:rsidR="00866F7E" w:rsidRPr="000C444E" w:rsidP="001D3850" w14:paraId="70172FB0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Driftslederens nærmeste overordnede er rektor hvis ikke annet er fastsatt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B1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B2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D9E2F3"/>
          </w:tcPr>
          <w:p w:rsidR="00866F7E" w:rsidRPr="000C444E" w:rsidP="000C444E" w14:paraId="70172FB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Interessenter som er interessert, men har liten innflytelse. De kan ha nyttig informasjon, og bør holdes informert</w:t>
            </w:r>
          </w:p>
          <w:p w:rsidR="00866F7E" w:rsidRPr="000C444E" w:rsidP="000C444E" w14:paraId="70172FB4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B5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THYF kjøper driftstjenester fra Byåsen videregående skole.</w:t>
            </w:r>
          </w:p>
        </w:tc>
      </w:tr>
      <w:tr w14:paraId="70172FBD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B7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Renhold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B8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Renholdstjenesten.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B9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BA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BB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Disse har både stor innflytelse og stor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0C444E" w14:paraId="70172FBC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THYF kjøper renholdstjenester fra Byåsen videregående skole.</w:t>
            </w:r>
          </w:p>
        </w:tc>
      </w:tr>
      <w:tr w14:paraId="70172FC5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866F7E" w:rsidRPr="000C444E" w:rsidP="00671896" w14:paraId="70172FBE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IKT</w:t>
            </w:r>
          </w:p>
        </w:tc>
        <w:tc>
          <w:tcPr>
            <w:tcW w:w="2500" w:type="dxa"/>
            <w:shd w:val="clear" w:color="auto" w:fill="D9E2F3"/>
          </w:tcPr>
          <w:p w:rsidR="00866F7E" w:rsidRPr="000C444E" w:rsidP="000C444E" w14:paraId="70172FBF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Brukerstøtte, Maskinvare, Programvare. Lisenskontroll, Datasikkerhet, It-plan,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Hjemmesider</w:t>
            </w:r>
          </w:p>
        </w:tc>
        <w:tc>
          <w:tcPr>
            <w:tcW w:w="1190" w:type="dxa"/>
            <w:shd w:val="clear" w:color="auto" w:fill="D9E2F3"/>
          </w:tcPr>
          <w:p w:rsidR="00866F7E" w:rsidRPr="000C444E" w:rsidP="000C444E" w14:paraId="70172FC0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E2F3"/>
          </w:tcPr>
          <w:p w:rsidR="00866F7E" w:rsidRPr="000C444E" w:rsidP="000C444E" w14:paraId="70172FC1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D9E2F3"/>
          </w:tcPr>
          <w:p w:rsidR="00866F7E" w:rsidP="000C444E" w14:paraId="70172FC2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Disse har både stor innflytelse og stor interesse av den daglige driften. De bør tilfredsstilles og engasjeres i sitt daglige arbeid.</w:t>
            </w:r>
          </w:p>
          <w:p w:rsidR="003B6A0E" w:rsidRPr="000C444E" w:rsidP="000C444E" w14:paraId="70172FC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E2F3"/>
          </w:tcPr>
          <w:p w:rsidR="00866F7E" w:rsidRPr="000C444E" w:rsidP="000C444E" w14:paraId="70172FC4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THYF kjøper IKT-tjenester fra Byåsen videregående skole.</w:t>
            </w:r>
          </w:p>
        </w:tc>
      </w:tr>
      <w:tr w14:paraId="70172FD6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</w:tcBorders>
            <w:shd w:val="clear" w:color="auto" w:fill="FFFFFF"/>
          </w:tcPr>
          <w:p w:rsidR="00866F7E" w:rsidRPr="000C444E" w:rsidP="00671896" w14:paraId="70172FC6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MARFAG</w:t>
            </w:r>
          </w:p>
        </w:tc>
        <w:tc>
          <w:tcPr>
            <w:tcW w:w="2500" w:type="dxa"/>
            <w:shd w:val="clear" w:color="auto" w:fill="auto"/>
          </w:tcPr>
          <w:p w:rsidR="00866F7E" w:rsidRPr="000C444E" w:rsidP="000C444E" w14:paraId="70172FC7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Maritim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interesseorganisasjon</w:t>
            </w:r>
          </w:p>
        </w:tc>
        <w:tc>
          <w:tcPr>
            <w:tcW w:w="1190" w:type="dxa"/>
            <w:shd w:val="clear" w:color="auto" w:fill="auto"/>
          </w:tcPr>
          <w:p w:rsidR="00866F7E" w:rsidRPr="000C444E" w:rsidP="000C444E" w14:paraId="70172FC8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866F7E" w:rsidRPr="000C444E" w:rsidP="000C444E" w14:paraId="70172FC9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866F7E" w:rsidRPr="000C444E" w:rsidP="000C444E" w14:paraId="70172FCA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Interessenter som er interessert, men har liten innflytelse. De kan ha nyttig informasjon, og bør holdes informert</w:t>
            </w:r>
          </w:p>
        </w:tc>
        <w:tc>
          <w:tcPr>
            <w:tcW w:w="4536" w:type="dxa"/>
            <w:shd w:val="clear" w:color="auto" w:fill="auto"/>
          </w:tcPr>
          <w:p w:rsidR="00866F7E" w:rsidRPr="000C444E" w:rsidP="001D3850" w14:paraId="70172FCC" w14:textId="612ABC49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Mål for samhandlingen:</w:t>
            </w:r>
          </w:p>
          <w:p w:rsidR="00866F7E" w:rsidRPr="000C444E" w:rsidP="001D3850" w14:paraId="70172FCD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•Bidra til informasjons- og erfaringsutveksling og se til et godt samarbeid mellom de som t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ilbyr fagskoleutdanning om forhold som påvirker fagskoleutdanningen og sikre kvalitet på tilbudene</w:t>
            </w:r>
          </w:p>
          <w:p w:rsidR="00866F7E" w:rsidRPr="000C444E" w:rsidP="001D3850" w14:paraId="70172FCE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•Utvikle systemer og strukturer som legger til rette for samarbeid, koordinering og drift av</w:t>
            </w:r>
            <w:r w:rsidR="003B6A0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felles utviklingsprosesser.</w:t>
            </w:r>
          </w:p>
          <w:p w:rsidR="00866F7E" w:rsidRPr="000C444E" w:rsidP="001D3850" w14:paraId="70172FCF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•Arbeide for å etablere årlige 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lærersamling og ledermøter.</w:t>
            </w:r>
          </w:p>
          <w:p w:rsidR="00866F7E" w:rsidRPr="000C444E" w:rsidP="001D3850" w14:paraId="70172FD0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•Samarbeid med fagskolens organer som RFF og andre fora når det er naturlig. Samarbeide med andre relevante råd der dette er hensiktsmessig.    </w:t>
            </w:r>
          </w:p>
          <w:p w:rsidR="00866F7E" w:rsidRPr="000C444E" w:rsidP="001D3850" w14:paraId="70172FD1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•Sørge for gode prosesser med utvikling av læringsutbyttebeskrivelser og emneplaner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. </w:t>
            </w:r>
          </w:p>
          <w:p w:rsidR="00866F7E" w:rsidRPr="000C444E" w:rsidP="001D3850" w14:paraId="70172FD3" w14:textId="3F86285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•Rektormøtet kommer med uttalelser, forslår utviklingsprosjekt, drøfter felles strategier, deltar i innstillinger når prosjektansvarlige/koordinator skal velges.</w:t>
            </w:r>
          </w:p>
          <w:p w:rsidR="00866F7E" w:rsidRPr="000C444E" w:rsidP="001D3850" w14:paraId="70172FD5" w14:textId="537596E5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Rektormøtet avholdes minimum 1 ganger pr år. Hvis rektor ikke kan delta på møte kan hun/ha</w:t>
            </w:r>
            <w:r w:rsidRPr="000C444E">
              <w:rPr>
                <w:rFonts w:ascii="Calibri" w:eastAsia="Calibri" w:hAnsi="Calibri"/>
                <w:color w:val="2F5496"/>
                <w:sz w:val="22"/>
                <w:szCs w:val="22"/>
              </w:rPr>
              <w:t>n utnevne en representant. Det forutsettes da at den som representerer rektor har alle dennes fullmakter.</w:t>
            </w:r>
          </w:p>
        </w:tc>
      </w:tr>
      <w:tr w14:paraId="70172FE1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</w:tcBorders>
            <w:shd w:val="clear" w:color="auto" w:fill="FFFFFF"/>
          </w:tcPr>
          <w:p w:rsidR="00324C16" w:rsidRPr="000C444E" w:rsidP="00671896" w14:paraId="70172FD7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HK-DIR (Direktoratet for høyere utdanning og kompetanse)</w:t>
            </w:r>
          </w:p>
        </w:tc>
        <w:tc>
          <w:tcPr>
            <w:tcW w:w="2500" w:type="dxa"/>
            <w:shd w:val="clear" w:color="auto" w:fill="auto"/>
          </w:tcPr>
          <w:p w:rsidR="00324C16" w:rsidP="001D3850" w14:paraId="70172FD8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Utlysning og finansiering av bransjeprogram og kortere utdanningstilbud.</w:t>
            </w:r>
          </w:p>
          <w:p w:rsidR="00324C16" w:rsidRPr="000C444E" w:rsidP="001D3850" w14:paraId="70172FDA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Finansierer det maritime samarbeidet mellom videregående, fag- og høyskoler</w:t>
            </w:r>
          </w:p>
        </w:tc>
        <w:tc>
          <w:tcPr>
            <w:tcW w:w="1190" w:type="dxa"/>
            <w:shd w:val="clear" w:color="auto" w:fill="auto"/>
          </w:tcPr>
          <w:p w:rsidR="00324C16" w:rsidRPr="000C444E" w:rsidP="000C444E" w14:paraId="70172FDB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324C16" w:rsidRPr="000C444E" w:rsidP="000C444E" w14:paraId="70172FDC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324C16" w:rsidRPr="000C444E" w:rsidP="000C444E" w14:paraId="70172FDD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</w:t>
            </w:r>
            <w:r w:rsidRPr="000C444E">
              <w:rPr>
                <w:rFonts w:ascii="Calibri" w:eastAsia="Calibri" w:hAnsi="Calibri"/>
                <w:sz w:val="22"/>
                <w:szCs w:val="22"/>
              </w:rPr>
              <w:t xml:space="preserve">ar stor innflytelse, men liten interesse av daglig drift. </w:t>
            </w:r>
            <w:r>
              <w:rPr>
                <w:rFonts w:ascii="Calibri" w:eastAsia="Calibri" w:hAnsi="Calibri"/>
                <w:sz w:val="22"/>
                <w:szCs w:val="22"/>
              </w:rPr>
              <w:t>V</w:t>
            </w:r>
            <w:r w:rsidRPr="000C444E">
              <w:rPr>
                <w:rFonts w:ascii="Calibri" w:eastAsia="Calibri" w:hAnsi="Calibri"/>
                <w:sz w:val="22"/>
                <w:szCs w:val="22"/>
              </w:rPr>
              <w:t>iktig å tilfredsstille i dokumentasjon og utførelse.</w:t>
            </w:r>
          </w:p>
        </w:tc>
        <w:tc>
          <w:tcPr>
            <w:tcW w:w="4536" w:type="dxa"/>
            <w:shd w:val="clear" w:color="auto" w:fill="auto"/>
          </w:tcPr>
          <w:p w:rsidR="00324C16" w:rsidP="001D3850" w14:paraId="70172FDF" w14:textId="18C67A0F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 xml:space="preserve">Gir muligheter for å finansiere nye, kortere, spissede </w:t>
            </w: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tilbud som bransjen har behov for.</w:t>
            </w:r>
          </w:p>
          <w:p w:rsidR="00324C16" w:rsidRPr="000C444E" w:rsidP="001D3850" w14:paraId="70172FE0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Sekretariat for nasjonalt fagskoleråd og arrangerer årlig den nasjonale fagskolekonferansen.</w:t>
            </w:r>
          </w:p>
        </w:tc>
      </w:tr>
      <w:tr w14:paraId="70172FEA" w14:textId="77777777" w:rsidTr="001D3850">
        <w:tblPrEx>
          <w:tblW w:w="0" w:type="auto"/>
          <w:tblInd w:w="5" w:type="dxa"/>
          <w:tblLook w:val="04A0"/>
        </w:tblPrEx>
        <w:tc>
          <w:tcPr>
            <w:tcW w:w="2117" w:type="dxa"/>
            <w:tcBorders>
              <w:left w:val="nil"/>
              <w:bottom w:val="nil"/>
            </w:tcBorders>
            <w:shd w:val="clear" w:color="auto" w:fill="FFFFFF"/>
          </w:tcPr>
          <w:p w:rsidR="00324C16" w:rsidP="00671896" w14:paraId="70172FE2" w14:textId="77777777">
            <w:pP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>Samordna opptak</w:t>
            </w:r>
            <w:r w:rsidR="007D0964">
              <w:rPr>
                <w:rFonts w:ascii="Calibri" w:eastAsia="Calibri" w:hAnsi="Calibri"/>
                <w:i/>
                <w:iCs/>
                <w:color w:val="2F5496"/>
                <w:sz w:val="22"/>
                <w:szCs w:val="22"/>
              </w:rPr>
              <w:t xml:space="preserve"> (SO)</w:t>
            </w:r>
          </w:p>
        </w:tc>
        <w:tc>
          <w:tcPr>
            <w:tcW w:w="2500" w:type="dxa"/>
            <w:shd w:val="clear" w:color="auto" w:fill="auto"/>
          </w:tcPr>
          <w:p w:rsidR="007D0964" w:rsidRPr="000C444E" w:rsidP="000C444E" w14:paraId="70172FE3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Organiserer søking og opptak til høyere yrkesfaglig utdanning</w:t>
            </w:r>
          </w:p>
        </w:tc>
        <w:tc>
          <w:tcPr>
            <w:tcW w:w="1190" w:type="dxa"/>
            <w:shd w:val="clear" w:color="auto" w:fill="auto"/>
          </w:tcPr>
          <w:p w:rsidR="00324C16" w:rsidRPr="000C444E" w:rsidP="000C444E" w14:paraId="70172FE4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324C16" w:rsidRPr="000C444E" w:rsidP="000C444E" w14:paraId="70172FE5" w14:textId="77777777">
            <w:pPr>
              <w:jc w:val="center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324C16" w:rsidRPr="000C444E" w:rsidP="000C444E" w14:paraId="70172FE6" w14:textId="77777777">
            <w:pPr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H</w:t>
            </w:r>
            <w:r w:rsidRPr="000C444E">
              <w:rPr>
                <w:rFonts w:ascii="Calibri" w:eastAsia="Calibri" w:hAnsi="Calibri"/>
                <w:sz w:val="22"/>
                <w:szCs w:val="22"/>
              </w:rPr>
              <w:t>ar både stor innflytelse og stor interesse av den daglige driften. De bør tilfredsstilles og engasjeres i sitt daglige arbeid.</w:t>
            </w:r>
          </w:p>
        </w:tc>
        <w:tc>
          <w:tcPr>
            <w:tcW w:w="4536" w:type="dxa"/>
            <w:shd w:val="clear" w:color="auto" w:fill="auto"/>
          </w:tcPr>
          <w:p w:rsidR="007D0964" w:rsidP="001D3850" w14:paraId="70172FE8" w14:textId="60B67A10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Skolen må sørge for at tilbud og kvalifikasjonskrav er lagt inn, og sørge for saksbehandling av søkere.</w:t>
            </w:r>
          </w:p>
          <w:p w:rsidR="007D0964" w:rsidRPr="000C444E" w:rsidP="001D3850" w14:paraId="70172FE9" w14:textId="77777777">
            <w:pPr>
              <w:spacing w:after="120"/>
              <w:rPr>
                <w:rFonts w:ascii="Calibri" w:eastAsia="Calibri" w:hAnsi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SO står for søknadsportal og tekniske løsninger tilknytte</w:t>
            </w:r>
            <w:r>
              <w:rPr>
                <w:rFonts w:ascii="Calibri" w:eastAsia="Calibri" w:hAnsi="Calibri"/>
                <w:color w:val="2F5496"/>
                <w:sz w:val="22"/>
                <w:szCs w:val="22"/>
              </w:rPr>
              <w:t>t denne.</w:t>
            </w:r>
          </w:p>
        </w:tc>
      </w:tr>
    </w:tbl>
    <w:p w:rsidR="00866F7E" w:rsidP="00866F7E" w14:paraId="70172FEB" w14:textId="77777777">
      <w:pPr>
        <w:sectPr w:rsidSect="0067189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418" w:right="1134" w:bottom="1418" w:left="1134" w:header="851" w:footer="454" w:gutter="0"/>
          <w:pgNumType w:start="1"/>
          <w:cols w:space="708"/>
          <w:formProt w:val="0"/>
          <w:titlePg/>
          <w:docGrid w:linePitch="326"/>
        </w:sectPr>
      </w:pPr>
    </w:p>
    <w:p w:rsidR="00866F7E" w:rsidP="00866F7E" w14:paraId="70172FEC" w14:textId="77777777"/>
    <w:p w:rsidR="001C0FFA" w14:paraId="70172FED" w14:textId="77777777"/>
    <w:p w:rsidR="001C0FFA" w14:paraId="70172FEE" w14:textId="77777777"/>
    <w:p w:rsidR="001C0FFA" w14:paraId="70172FEF" w14:textId="77777777"/>
    <w:p w:rsidR="001C0FFA" w14:paraId="70172FF0" w14:textId="77777777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14:paraId="70172FF4" w14:textId="77777777">
      <w:bookmarkEnd w:id="1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19" w:history="1">
              <w:r>
                <w:rPr>
                  <w:b w:val="0"/>
                  <w:color w:val="0000FF"/>
                  <w:u w:val="single"/>
                </w:rPr>
                <w:t xml:space="preserve"> Maritime Training Providers-DNVGL-ST-0029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>2.1.4 Responsibility and authority</w:t>
            </w:r>
          </w:p>
        </w:tc>
      </w:tr>
    </w:tbl>
    <w:p w:rsidR="001C0FFA" w14:paraId="70172FF7" w14:textId="77777777">
      <w:bookmarkEnd w:id="2"/>
    </w:p>
    <w:p w:rsidR="001C0FFA" w14:paraId="70172FF8" w14:textId="77777777"/>
    <w:sectPr w:rsidSect="00866F7E"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3EBB" w14:paraId="70172F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3EBB" w14:paraId="70172FF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3EBB" w14:paraId="70173001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9A6" w14:paraId="7017300A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9A6" w14:paraId="7017300B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7017300D" w14:textId="3F00EF39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3EBB" w14:paraId="70172F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7E" w14:paraId="70172FFC" w14:textId="77777777">
    <w:pPr>
      <w:pStyle w:val="Header"/>
    </w:pPr>
  </w:p>
  <w:p w:rsidR="00866F7E" w14:paraId="70172F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3EBB" w14:paraId="7017300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9A6" w14:paraId="70173002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70173005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70173003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INTERESSENTANALYSE THYF med hovedvekt på maritime linjer.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70173004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1.1.4</w:t>
          </w:r>
          <w:r>
            <w:rPr>
              <w:sz w:val="20"/>
            </w:rPr>
            <w:fldChar w:fldCharType="end"/>
          </w:r>
        </w:p>
      </w:tc>
    </w:tr>
    <w:tr w14:paraId="70173008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70173006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70173007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8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11</w:t>
          </w:r>
          <w:r>
            <w:rPr>
              <w:sz w:val="20"/>
            </w:rPr>
            <w:fldChar w:fldCharType="end"/>
          </w:r>
        </w:p>
      </w:tc>
    </w:tr>
  </w:tbl>
  <w:p w:rsidR="001C0FFA" w14:paraId="70173009" w14:textId="7777777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9A6" w14:paraId="701730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1A42EB"/>
    <w:multiLevelType w:val="hybridMultilevel"/>
    <w:tmpl w:val="801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2429"/>
    <w:multiLevelType w:val="hybridMultilevel"/>
    <w:tmpl w:val="6B702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A"/>
    <w:rsid w:val="00015CE9"/>
    <w:rsid w:val="00081A8C"/>
    <w:rsid w:val="000C444E"/>
    <w:rsid w:val="000E49A6"/>
    <w:rsid w:val="000F3BF2"/>
    <w:rsid w:val="001A500E"/>
    <w:rsid w:val="001C0FFA"/>
    <w:rsid w:val="001D3850"/>
    <w:rsid w:val="001F23CA"/>
    <w:rsid w:val="00275C29"/>
    <w:rsid w:val="00280477"/>
    <w:rsid w:val="00324C16"/>
    <w:rsid w:val="003408B8"/>
    <w:rsid w:val="003B6A0E"/>
    <w:rsid w:val="003D4093"/>
    <w:rsid w:val="00415440"/>
    <w:rsid w:val="004F400D"/>
    <w:rsid w:val="005037FB"/>
    <w:rsid w:val="00580C11"/>
    <w:rsid w:val="00593ADB"/>
    <w:rsid w:val="005F01D6"/>
    <w:rsid w:val="005F7187"/>
    <w:rsid w:val="00671896"/>
    <w:rsid w:val="006A2A44"/>
    <w:rsid w:val="006F18B0"/>
    <w:rsid w:val="00713EBB"/>
    <w:rsid w:val="007828F9"/>
    <w:rsid w:val="007D0964"/>
    <w:rsid w:val="00866F7E"/>
    <w:rsid w:val="008B78D0"/>
    <w:rsid w:val="00A257F5"/>
    <w:rsid w:val="00AA01AD"/>
    <w:rsid w:val="00B33900"/>
    <w:rsid w:val="00B84574"/>
    <w:rsid w:val="00BB51EF"/>
    <w:rsid w:val="00BF75FB"/>
    <w:rsid w:val="00C93BB7"/>
    <w:rsid w:val="00D2046C"/>
    <w:rsid w:val="00E34F49"/>
    <w:rsid w:val="00EA147D"/>
    <w:rsid w:val="00EC7FCB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s Tore Mikkelsen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03.12.2021¤3#EK_Opprettet¤2#0¤2#16.06.2021¤3#EK_Utgitt¤2#0¤2#16.06.2021¤3#EK_IBrukDato¤2#0¤2#03.12.2021¤3#EK_DokumentID¤2#0¤2#D00156¤3#EK_DokTittel¤2#0¤2#INTERESSENTANALYSE THYF AVD. TRONDHEIM, MARITIME LINJER.¤3#EK_DokType¤2#0¤2#Skjema¤3#EK_EksRef¤2#2¤2# 0 ¤3#EK_Erstatter¤2#0¤2#1.00¤3#EK_ErstatterD¤2#0¤2#16.06.2021¤3#EK_Signatur¤2#0¤2#STOI¤3#EK_Verifisert¤2#0¤2# ¤3#EK_Hørt¤2#0¤2# ¤3#EK_AuditReview¤2#2¤2# ¤3#EK_AuditApprove¤2#2¤2# ¤3#EK_Gradering¤2#0¤2#Åpen¤3#EK_Gradnr¤2#4¤2#0¤3#EK_Kapittel¤2#4¤2# ¤3#EK_Referanse¤2#2¤2# 0 ¤3#EK_RefNr¤2#0¤2#TAB.3¤3#EK_Revisjon¤2#0¤2#2.00¤3#EK_Ansvarlig¤2#0¤2#Hans Tore Mikkelsen¤3#EK_SkrevetAv¤2#0¤2#WARA/MIH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2.00¤3#EK_Merknad¤2#7¤2#Identisert to nye interessenter som er lagt inn i  figur og tabell.¤3#EK_VerLogg¤2#2¤2#Ver. 2.00 - 03.12.2021|Identisert to nye interessenter som er lagt inn i  figur og tabell.¤1#Ver. 1.00 - 13.08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¤3#EK_Vedlegg¤2#2¤2# 0 ¤3#EK_AvdelingOver¤2#4¤2# ¤3#EK_HRefNr¤2#0¤2# ¤3#EK_HbNavn¤2#0¤2# ¤3#EK_DokRefnr¤2#4¤2#000203¤3#EK_Dokendrdato¤2#4¤2#13.08.2021 11:09:43¤3#EK_HbType¤2#4¤2# ¤3#EK_Offisiell¤2#4¤2# ¤3#EK_VedleggRef¤2#4¤2#TAB.3¤3#EK_Strukt00¤2#5¤2#¤5#¤5#KVALITETSYSTEM DEL B¤5#0¤5#0¤4#¤5#TAB¤5#TABELLER OG SKJEMA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TAB¤5#TABELLER OG SKJEMAER¤5#0¤5#0¤4#\¤3#"/>
    <w:docVar w:name="ek_dl" w:val="3"/>
    <w:docVar w:name="ek_doktittel" w:val="INTERESSENTANALYSE THYF AVD. TRONDHEIM, MARITIME LINJER."/>
    <w:docVar w:name="ek_doktype" w:val="Skjema"/>
    <w:docVar w:name="ek_dokumentid" w:val="D00156"/>
    <w:docVar w:name="ek_erstatter" w:val="1.00"/>
    <w:docVar w:name="ek_erstatterd" w:val="16.06.2021"/>
    <w:docVar w:name="ek_format" w:val="-2"/>
    <w:docVar w:name="ek_gjelderfra" w:val="03.12.2021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3.12.2021"/>
    <w:docVar w:name="ek_merknad" w:val="Identisert to nye interessenter som er lagt inn i  figur og tabell."/>
    <w:docVar w:name="ek_opprettet" w:val="16.06.2021"/>
    <w:docVar w:name="ek_rapport" w:val="[]"/>
    <w:docVar w:name="ek_refnr" w:val="TAB.3"/>
    <w:docVar w:name="ek_revisjon" w:val="2.00"/>
    <w:docVar w:name="ek_signatur" w:val="STOI"/>
    <w:docVar w:name="ek_skrevetav" w:val="WARA/MIHA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2.00"/>
    <w:docVar w:name="ek_utgitt" w:val="16.06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172EB8"/>
  <w15:docId w15:val="{CE85FD97-886F-49B1-AA91-D9E8BEC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telTegn"/>
    <w:uiPriority w:val="10"/>
    <w:qFormat/>
    <w:rsid w:val="00866F7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link w:val="Title"/>
    <w:uiPriority w:val="10"/>
    <w:rsid w:val="00866F7E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opptekstTegn">
    <w:name w:val="Topptekst Tegn"/>
    <w:link w:val="Header"/>
    <w:uiPriority w:val="99"/>
    <w:rsid w:val="00866F7E"/>
    <w:rPr>
      <w:sz w:val="24"/>
    </w:rPr>
  </w:style>
  <w:style w:type="table" w:styleId="ListTable2Accent1">
    <w:name w:val="List Table 2 Accent 1"/>
    <w:basedOn w:val="TableNormal"/>
    <w:uiPriority w:val="47"/>
    <w:rsid w:val="00866F7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7ColorfulAccent1">
    <w:name w:val="Grid Table 7 Colorful Accent 1"/>
    <w:basedOn w:val="TableNormal"/>
    <w:uiPriority w:val="52"/>
    <w:rsid w:val="00866F7E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ListParagraph">
    <w:name w:val="List Paragraph"/>
    <w:basedOn w:val="Normal"/>
    <w:uiPriority w:val="34"/>
    <w:qFormat/>
    <w:rsid w:val="00866F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1.jpeg" /><Relationship Id="rId12" Type="http://schemas.openxmlformats.org/officeDocument/2006/relationships/image" Target="media/image2.png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header" Target="header6.xml" /><Relationship Id="rId18" Type="http://schemas.openxmlformats.org/officeDocument/2006/relationships/footer" Target="footer6.xml" /><Relationship Id="rId19" Type="http://schemas.openxmlformats.org/officeDocument/2006/relationships/hyperlink" Target="http://ek.hfk.no/ekfih/docs/dok/DOK00687.pdf" TargetMode="Externa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7A43-55F3-4D6E-9218-BB914A1D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20</TotalTime>
  <Pages>11</Pages>
  <Words>1891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INTERESSENTANALYSE THYF AVD. TRONDHEIM, MARITIME LINJER.</vt:lpstr>
      <vt:lpstr>	</vt:lpstr>
    </vt:vector>
  </TitlesOfParts>
  <Company>Datakvalitet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INTERESSENTANALYSE THYF med hovedvekt på maritime linjer.</dc:title>
  <dc:subject>000203|TAB.3|</dc:subject>
  <dc:creator>Handbok</dc:creator>
  <dc:description>EK_Avdeling4 EK_Avsnitt4 EK_Bedriftsnavn1TRØNDELAG HØYERE YRKESFAGSKOLE avd. TRONDHEIMEK_GjelderFra003.12.2021EK_Opprettet016.06.2021EK_Utgitt016.06.2021EK_IBrukDato003.12.2021EK_DokumentID0D00156EK_DokTittel0INTERESSENTANALYSE THYF AVD. TRONDHEIM, MARITIME LINJER.EK_DokType0SkjemaEK_EksRef2 0	EK_Erstatter01.00EK_ErstatterD016.06.2021EK_Signatur0STOIEK_Verifisert0 EK_Hørt0 EK_AuditReview2 EK_AuditApprove2 EK_Gradering0ÅpenEK_Gradnr40EK_Kapittel4 EK_Referanse2 0	EK_RefNr0TAB.3EK_Revisjon02.00EK_Ansvarlig0Hans Tore MikkelsenEK_SkrevetAv0WARA/MIHAEK_UText10 EK_UText20 EK_UText30 EK_UText40 EK_Status0I brukEK_Stikkord0EK_SuperStikkord0EK_Rapport3EK_EKPrintMerke0Uoffisiell utskrift er kun gyldig på utskriftsdatoEK_Watermark0EK_Utgave02.00EK_Merknad7Identisert to nye interessenter som er lagt inn i  figur og tabell.EK_VerLogg2Ver. 2.00 - 03.12.2021|Identisert to nye interessenter som er lagt inn i  figur og tabell.Ver. 1.00 - 13.08.2021|EK_RF14 EK_RF24 EK_RF34 EK_RF44 EK_RF54 EK_RF64 EK_RF74 EK_RF84 EK_RF94 EK_Mappe14 EK_Mappe24 EK_Mappe34 EK_Mappe44 EK_Mappe54 EK_Mappe64 EK_Mappe74 EK_Mappe84 EK_Mappe94 EK_DL03EK_GjelderTil0EK_Vedlegg2 0	EK_AvdelingOver4 EK_HRefNr0 EK_HbNavn0 EK_DokRefnr4000203EK_Dokendrdato413.08.2021 11:09:43EK_HbType4 EK_Offisiell4 EK_VedleggRef4TAB.3EK_Strukt005KVALITETSYSTEM DEL B00TABTABELLER OG SKJEMAER00\EK_Strukt015EK_Pub6;15;EKR_DokType0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B00TABTABELLER OG SKJEMAER00\</dc:description>
  <cp:lastModifiedBy>Hans Tore Mikkelsen</cp:lastModifiedBy>
  <cp:revision>3</cp:revision>
  <dcterms:created xsi:type="dcterms:W3CDTF">2021-12-03T10:59:00Z</dcterms:created>
  <dcterms:modified xsi:type="dcterms:W3CDTF">2022-04-13T08:19:00Z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INTERESSENTANALYSE THYF med hovedvekt på maritime linjer.</vt:lpwstr>
  </property>
  <property fmtid="{D5CDD505-2E9C-101B-9397-08002B2CF9AE}" pid="4" name="EK_DokType">
    <vt:lpwstr>Vedlegg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27.03.2024</vt:lpwstr>
  </property>
  <property fmtid="{D5CDD505-2E9C-101B-9397-08002B2CF9AE}" pid="7" name="EK_RefNr">
    <vt:lpwstr>1.1.4</vt:lpwstr>
  </property>
  <property fmtid="{D5CDD505-2E9C-101B-9397-08002B2CF9AE}" pid="8" name="EK_Signatur">
    <vt:lpwstr>[]</vt:lpwstr>
  </property>
  <property fmtid="{D5CDD505-2E9C-101B-9397-08002B2CF9AE}" pid="9" name="EK_SkrevetAv">
    <vt:lpwstr>WARA/MIHA</vt:lpwstr>
  </property>
  <property fmtid="{D5CDD505-2E9C-101B-9397-08002B2CF9AE}" pid="10" name="EK_Utgave">
    <vt:lpwstr>3.03</vt:lpwstr>
  </property>
  <property fmtid="{D5CDD505-2E9C-101B-9397-08002B2CF9AE}" pid="11" name="EK_Watermark">
    <vt:lpwstr/>
  </property>
  <property fmtid="{D5CDD505-2E9C-101B-9397-08002B2CF9AE}" pid="12" name="XR00001">
    <vt:lpwstr/>
  </property>
  <property fmtid="{D5CDD505-2E9C-101B-9397-08002B2CF9AE}" pid="13" name="XR00071">
    <vt:lpwstr>2.1.4</vt:lpwstr>
  </property>
  <property fmtid="{D5CDD505-2E9C-101B-9397-08002B2CF9AE}" pid="14" name="XRF00001">
    <vt:lpwstr>Maritime Training Providers-DNVGL-ST-0029</vt:lpwstr>
  </property>
  <property fmtid="{D5CDD505-2E9C-101B-9397-08002B2CF9AE}" pid="15" name="XRF00071">
    <vt:lpwstr>Responsibility and authority</vt:lpwstr>
  </property>
  <property fmtid="{D5CDD505-2E9C-101B-9397-08002B2CF9AE}" pid="16" name="XRL00001">
    <vt:lpwstr> Maritime Training Providers-DNVGL-ST-0029</vt:lpwstr>
  </property>
  <property fmtid="{D5CDD505-2E9C-101B-9397-08002B2CF9AE}" pid="17" name="XRL00071">
    <vt:lpwstr>2.1.4 Responsibility and authority</vt:lpwstr>
  </property>
  <property fmtid="{D5CDD505-2E9C-101B-9397-08002B2CF9AE}" pid="18" name="XRT00001">
    <vt:lpwstr>Maritime Training Providers-DNVGL-ST-0029</vt:lpwstr>
  </property>
  <property fmtid="{D5CDD505-2E9C-101B-9397-08002B2CF9AE}" pid="19" name="XRT00071">
    <vt:lpwstr>Responsibility and authority</vt:lpwstr>
  </property>
</Properties>
</file>