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47AADC02" w14:textId="77777777">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14:paraId="47AADC00" w14:textId="77777777">
            <w:pPr>
              <w:spacing w:before="120" w:after="120"/>
              <w:jc w:val="center"/>
              <w:rPr>
                <w:b/>
                <w:sz w:val="28"/>
              </w:rPr>
            </w:pPr>
            <w:bookmarkStart w:id="0" w:name="tempHer"/>
            <w:bookmarkEnd w:id="0"/>
            <w:r>
              <w:rPr>
                <w:b/>
                <w:sz w:val="28"/>
              </w:rPr>
              <w:t xml:space="preserve"> </w:t>
            </w:r>
            <w:r>
              <w:rPr>
                <w:b/>
                <w:sz w:val="28"/>
              </w:rPr>
              <w:fldChar w:fldCharType="begin" w:fldLock="1"/>
            </w:r>
            <w:r>
              <w:rPr>
                <w:b/>
                <w:color w:val="000080"/>
                <w:sz w:val="28"/>
              </w:rPr>
              <w:instrText xml:space="preserve"> DOCPROPERTY EK_Bedriftsnavn </w:instrText>
            </w:r>
            <w:r>
              <w:rPr>
                <w:b/>
                <w:sz w:val="28"/>
              </w:rPr>
              <w:fldChar w:fldCharType="separate"/>
            </w:r>
            <w:r>
              <w:rPr>
                <w:b/>
                <w:color w:val="000080"/>
                <w:sz w:val="28"/>
              </w:rPr>
              <w:t>TRØNDELAG HØYERE YRKESFAGSKOLE</w:t>
            </w:r>
            <w:r>
              <w:rPr>
                <w:b/>
                <w:sz w:val="28"/>
              </w:rPr>
              <w:fldChar w:fldCharType="end"/>
            </w:r>
          </w:p>
        </w:tc>
        <w:tc>
          <w:tcPr>
            <w:tcW w:w="2126" w:type="dxa"/>
            <w:tcBorders>
              <w:top w:val="single" w:sz="12" w:space="0" w:color="auto"/>
              <w:left w:val="nil"/>
              <w:bottom w:val="single" w:sz="6" w:space="0" w:color="auto"/>
            </w:tcBorders>
          </w:tcPr>
          <w:p w:rsidR="001C0FFA" w14:paraId="47AADC01" w14:textId="77777777">
            <w:pPr>
              <w:spacing w:before="180" w:after="120"/>
            </w:pPr>
            <w:r>
              <w:rPr>
                <w:sz w:val="16"/>
              </w:rPr>
              <w:t xml:space="preserve">Dok.id.: </w:t>
            </w:r>
            <w:r>
              <w:rPr>
                <w:sz w:val="16"/>
              </w:rPr>
              <w:fldChar w:fldCharType="begin" w:fldLock="1"/>
            </w:r>
            <w:r>
              <w:rPr>
                <w:color w:val="000080"/>
              </w:rPr>
              <w:instrText xml:space="preserve"> DOCPROPERTY EK_RefNr </w:instrText>
            </w:r>
            <w:r>
              <w:rPr>
                <w:sz w:val="16"/>
              </w:rPr>
              <w:fldChar w:fldCharType="separate"/>
            </w:r>
            <w:r>
              <w:rPr>
                <w:color w:val="000080"/>
              </w:rPr>
              <w:t>1.3.5</w:t>
            </w:r>
            <w:r>
              <w:rPr>
                <w:sz w:val="16"/>
              </w:rPr>
              <w:fldChar w:fldCharType="end"/>
            </w:r>
          </w:p>
        </w:tc>
      </w:tr>
      <w:tr w14:paraId="47AADC05" w14:textId="77777777">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14:paraId="47AADC03" w14:textId="77777777">
            <w:pPr>
              <w:spacing w:before="80" w:after="80"/>
              <w:rPr>
                <w:b/>
              </w:rPr>
            </w:pPr>
            <w:r>
              <w:rPr>
                <w:b/>
              </w:rPr>
              <w:fldChar w:fldCharType="begin" w:fldLock="1"/>
            </w:r>
            <w:r>
              <w:rPr>
                <w:b/>
                <w:color w:val="000080"/>
              </w:rPr>
              <w:instrText xml:space="preserve"> DOCPROPERTY EK_DokTittel </w:instrText>
            </w:r>
            <w:r>
              <w:rPr>
                <w:b/>
              </w:rPr>
              <w:fldChar w:fldCharType="separate"/>
            </w:r>
            <w:r>
              <w:rPr>
                <w:b/>
                <w:color w:val="000080"/>
              </w:rPr>
              <w:t>Melde inn klage ved THYF</w:t>
            </w:r>
            <w:r>
              <w:rPr>
                <w:b/>
              </w:rPr>
              <w:fldChar w:fldCharType="end"/>
            </w:r>
          </w:p>
        </w:tc>
        <w:tc>
          <w:tcPr>
            <w:tcW w:w="2125" w:type="dxa"/>
            <w:tcBorders>
              <w:top w:val="single" w:sz="6" w:space="0" w:color="auto"/>
              <w:left w:val="nil"/>
              <w:bottom w:val="single" w:sz="6" w:space="0" w:color="auto"/>
            </w:tcBorders>
          </w:tcPr>
          <w:p w:rsidR="001C0FFA" w14:paraId="47AADC04"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47AADC10" w14:textId="77777777">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47AADC06" w14:textId="77777777">
            <w:pPr>
              <w:rPr>
                <w:color w:val="000080"/>
                <w:sz w:val="20"/>
              </w:rPr>
            </w:pPr>
            <w:r>
              <w:rPr>
                <w:sz w:val="16"/>
              </w:rPr>
              <w:t>Utgave:</w:t>
            </w:r>
          </w:p>
          <w:p w:rsidR="001C0FFA" w14:paraId="47AADC07" w14:textId="77777777">
            <w:pPr>
              <w:jc w:val="center"/>
              <w:rPr>
                <w:sz w:val="20"/>
              </w:rPr>
            </w:pPr>
            <w:r>
              <w:rPr>
                <w:sz w:val="20"/>
              </w:rPr>
              <w:fldChar w:fldCharType="begin" w:fldLock="1"/>
            </w:r>
            <w:r>
              <w:rPr>
                <w:color w:val="000080"/>
                <w:sz w:val="20"/>
              </w:rPr>
              <w:instrText xml:space="preserve"> DOCPROPERTY EK_Utgave </w:instrText>
            </w:r>
            <w:r>
              <w:rPr>
                <w:sz w:val="20"/>
              </w:rPr>
              <w:fldChar w:fldCharType="separate"/>
            </w:r>
            <w:r>
              <w:rPr>
                <w:color w:val="000080"/>
                <w:sz w:val="20"/>
              </w:rPr>
              <w:t>4.00</w:t>
            </w:r>
            <w:r>
              <w:rPr>
                <w:sz w:val="20"/>
              </w:rPr>
              <w:fldChar w:fldCharType="end"/>
            </w:r>
          </w:p>
        </w:tc>
        <w:tc>
          <w:tcPr>
            <w:tcW w:w="2268" w:type="dxa"/>
            <w:tcBorders>
              <w:top w:val="nil"/>
              <w:left w:val="single" w:sz="6" w:space="0" w:color="auto"/>
              <w:bottom w:val="single" w:sz="12" w:space="0" w:color="auto"/>
              <w:right w:val="nil"/>
            </w:tcBorders>
          </w:tcPr>
          <w:p w:rsidR="001C0FFA" w14:paraId="47AADC08" w14:textId="77777777">
            <w:pPr>
              <w:rPr>
                <w:sz w:val="20"/>
              </w:rPr>
            </w:pPr>
            <w:r>
              <w:rPr>
                <w:sz w:val="16"/>
              </w:rPr>
              <w:t>Skrevet av:</w:t>
            </w:r>
          </w:p>
          <w:p w:rsidR="001C0FFA" w14:paraId="47AADC09" w14:textId="4E869365">
            <w:pPr>
              <w:jc w:val="center"/>
              <w:rPr>
                <w:sz w:val="20"/>
              </w:rPr>
            </w:pPr>
            <w:r>
              <w:rPr>
                <w:sz w:val="20"/>
              </w:rPr>
              <w:fldChar w:fldCharType="begin" w:fldLock="1"/>
            </w:r>
            <w:r>
              <w:rPr>
                <w:color w:val="000080"/>
                <w:sz w:val="20"/>
              </w:rPr>
              <w:instrText xml:space="preserve"> DOCPROPERTY EK_SkrevetAv </w:instrText>
            </w:r>
            <w:r>
              <w:rPr>
                <w:sz w:val="20"/>
              </w:rPr>
              <w:fldChar w:fldCharType="separate"/>
            </w:r>
            <w:r>
              <w:rPr>
                <w:color w:val="000080"/>
                <w:sz w:val="20"/>
              </w:rPr>
              <w:t>Hans Tore Mikkelsen</w:t>
            </w:r>
            <w:r>
              <w:rPr>
                <w:sz w:val="20"/>
              </w:rPr>
              <w:fldChar w:fldCharType="end"/>
            </w:r>
          </w:p>
        </w:tc>
        <w:tc>
          <w:tcPr>
            <w:tcW w:w="1417" w:type="dxa"/>
            <w:tcBorders>
              <w:top w:val="nil"/>
              <w:left w:val="single" w:sz="6" w:space="0" w:color="auto"/>
              <w:bottom w:val="single" w:sz="12" w:space="0" w:color="auto"/>
              <w:right w:val="nil"/>
            </w:tcBorders>
          </w:tcPr>
          <w:p w:rsidR="001C0FFA" w14:paraId="47AADC0A" w14:textId="77777777">
            <w:pPr>
              <w:rPr>
                <w:sz w:val="16"/>
              </w:rPr>
            </w:pPr>
            <w:r>
              <w:rPr>
                <w:sz w:val="16"/>
              </w:rPr>
              <w:t>Gjelder fra:</w:t>
            </w:r>
          </w:p>
          <w:p w:rsidR="001C0FFA" w14:paraId="47AADC0B" w14:textId="77777777">
            <w:pPr>
              <w:jc w:val="center"/>
              <w:rPr>
                <w:sz w:val="20"/>
              </w:rPr>
            </w:pPr>
            <w:r>
              <w:rPr>
                <w:sz w:val="20"/>
              </w:rPr>
              <w:fldChar w:fldCharType="begin" w:fldLock="1"/>
            </w:r>
            <w:r>
              <w:rPr>
                <w:color w:val="000080"/>
                <w:sz w:val="20"/>
              </w:rPr>
              <w:instrText xml:space="preserve"> DOCPROPERTY EK_GjelderFra </w:instrText>
            </w:r>
            <w:r>
              <w:rPr>
                <w:sz w:val="20"/>
              </w:rPr>
              <w:fldChar w:fldCharType="separate"/>
            </w:r>
            <w:r>
              <w:rPr>
                <w:color w:val="000080"/>
                <w:sz w:val="20"/>
              </w:rPr>
              <w:t>03.06.2024</w:t>
            </w:r>
            <w:r>
              <w:rPr>
                <w:sz w:val="20"/>
              </w:rPr>
              <w:fldChar w:fldCharType="end"/>
            </w:r>
          </w:p>
        </w:tc>
        <w:tc>
          <w:tcPr>
            <w:tcW w:w="2410" w:type="dxa"/>
            <w:tcBorders>
              <w:top w:val="nil"/>
              <w:left w:val="single" w:sz="6" w:space="0" w:color="auto"/>
              <w:bottom w:val="single" w:sz="12" w:space="0" w:color="auto"/>
              <w:right w:val="nil"/>
            </w:tcBorders>
          </w:tcPr>
          <w:p w:rsidR="001C0FFA" w14:paraId="47AADC0C" w14:textId="77777777">
            <w:pPr>
              <w:rPr>
                <w:color w:val="000080"/>
                <w:sz w:val="20"/>
              </w:rPr>
            </w:pPr>
            <w:r>
              <w:rPr>
                <w:sz w:val="16"/>
              </w:rPr>
              <w:t>Godkjent av:</w:t>
            </w:r>
          </w:p>
          <w:p w:rsidR="001C0FFA" w14:paraId="47AADC0D" w14:textId="77777777">
            <w:pPr>
              <w:jc w:val="center"/>
            </w:pPr>
            <w:r>
              <w:fldChar w:fldCharType="begin" w:fldLock="1"/>
            </w:r>
            <w:r>
              <w:rPr>
                <w:color w:val="000080"/>
                <w:sz w:val="20"/>
              </w:rPr>
              <w:instrText xml:space="preserve"> DOCPROPERTY EK_Signatur </w:instrText>
            </w:r>
            <w:r>
              <w:fldChar w:fldCharType="separate"/>
            </w:r>
            <w:r>
              <w:rPr>
                <w:color w:val="000080"/>
                <w:sz w:val="20"/>
              </w:rPr>
              <w:t>Svein Ove Dyrdal</w:t>
            </w:r>
            <w:r>
              <w:fldChar w:fldCharType="end"/>
            </w:r>
          </w:p>
        </w:tc>
        <w:tc>
          <w:tcPr>
            <w:tcW w:w="2126" w:type="dxa"/>
            <w:tcBorders>
              <w:top w:val="nil"/>
              <w:left w:val="single" w:sz="6" w:space="0" w:color="auto"/>
              <w:bottom w:val="single" w:sz="12" w:space="0" w:color="auto"/>
            </w:tcBorders>
          </w:tcPr>
          <w:p w:rsidR="001C0FFA" w14:paraId="47AADC0E" w14:textId="77777777">
            <w:pPr>
              <w:rPr>
                <w:sz w:val="20"/>
              </w:rPr>
            </w:pPr>
            <w:r>
              <w:rPr>
                <w:sz w:val="16"/>
              </w:rPr>
              <w:t>Sidenr:</w:t>
            </w:r>
          </w:p>
          <w:p w:rsidR="001C0FFA" w14:paraId="47AADC0F" w14:textId="77777777">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4D6036" w:rsidRPr="005F61A2" w:rsidP="004D6036" w14:paraId="47AADC11" w14:textId="77777777">
      <w:pPr>
        <w:rPr>
          <w:rFonts w:ascii="Calibri" w:eastAsia="Calibri" w:hAnsi="Calibri"/>
          <w:sz w:val="22"/>
          <w:szCs w:val="22"/>
          <w:lang w:eastAsia="en-US"/>
        </w:rPr>
      </w:pPr>
    </w:p>
    <w:p w:rsidR="004D6036" w:rsidRPr="005F61A2" w:rsidP="005924A1" w14:paraId="47AADC12" w14:textId="77777777">
      <w:pPr>
        <w:numPr>
          <w:ilvl w:val="0"/>
          <w:numId w:val="1"/>
        </w:numPr>
        <w:tabs>
          <w:tab w:val="clear" w:pos="360"/>
        </w:tabs>
        <w:spacing w:after="120" w:line="259" w:lineRule="auto"/>
        <w:ind w:left="426" w:hanging="426"/>
        <w:jc w:val="both"/>
        <w:rPr>
          <w:rFonts w:ascii="Verdana" w:hAnsi="Verdana"/>
          <w:b/>
          <w:sz w:val="22"/>
          <w:szCs w:val="22"/>
        </w:rPr>
      </w:pPr>
      <w:r w:rsidRPr="005F61A2">
        <w:rPr>
          <w:rFonts w:ascii="Verdana" w:hAnsi="Verdana"/>
          <w:b/>
          <w:sz w:val="22"/>
          <w:szCs w:val="22"/>
        </w:rPr>
        <w:t>Formål og omfang</w:t>
      </w:r>
    </w:p>
    <w:p w:rsidR="005924A1" w:rsidRPr="005F61A2" w:rsidP="005924A1" w14:paraId="187C81F2" w14:textId="77777777">
      <w:pPr>
        <w:spacing w:after="120"/>
        <w:ind w:left="426"/>
        <w:jc w:val="both"/>
        <w:rPr>
          <w:rFonts w:ascii="Verdana" w:hAnsi="Verdana"/>
          <w:sz w:val="20"/>
        </w:rPr>
      </w:pPr>
      <w:r w:rsidRPr="005F61A2">
        <w:rPr>
          <w:rFonts w:ascii="Verdana" w:hAnsi="Verdana"/>
          <w:sz w:val="20"/>
        </w:rPr>
        <w:t xml:space="preserve">Ha et system hvor studenter kan melde fra </w:t>
      </w:r>
      <w:r w:rsidRPr="005F61A2">
        <w:rPr>
          <w:rFonts w:ascii="Verdana" w:hAnsi="Verdana"/>
          <w:sz w:val="20"/>
        </w:rPr>
        <w:t>eller klage hvis studenten ikke får den opplæringen vedkommende har krav på, og sette inn nødvendige tiltak for å sikre at opplæringen blir gitt.</w:t>
      </w:r>
    </w:p>
    <w:p w:rsidR="004D6036" w:rsidRPr="005F61A2" w:rsidP="005924A1" w14:paraId="47AADC14" w14:textId="7318CA56">
      <w:pPr>
        <w:spacing w:after="120"/>
        <w:ind w:left="426"/>
        <w:jc w:val="both"/>
        <w:rPr>
          <w:rFonts w:ascii="Verdana" w:hAnsi="Verdana"/>
          <w:sz w:val="20"/>
        </w:rPr>
      </w:pPr>
      <w:r w:rsidRPr="005F61A2">
        <w:rPr>
          <w:rFonts w:ascii="Verdana" w:hAnsi="Verdana"/>
          <w:sz w:val="20"/>
        </w:rPr>
        <w:t>Prosedyren omfatter alle utdanninger ved Trøndelag høyere yrkesfagskole (THYF).</w:t>
      </w:r>
    </w:p>
    <w:p w:rsidR="005924A1" w:rsidRPr="005F61A2" w:rsidP="005924A1" w14:paraId="2D851017" w14:textId="77777777">
      <w:pPr>
        <w:spacing w:after="120"/>
        <w:ind w:left="426"/>
        <w:jc w:val="both"/>
        <w:rPr>
          <w:rFonts w:ascii="Verdana" w:hAnsi="Verdana"/>
          <w:sz w:val="20"/>
        </w:rPr>
      </w:pPr>
    </w:p>
    <w:p w:rsidR="004D6036" w:rsidRPr="00C95363" w:rsidP="005924A1" w14:paraId="47AADC15" w14:textId="77777777">
      <w:pPr>
        <w:numPr>
          <w:ilvl w:val="0"/>
          <w:numId w:val="1"/>
        </w:numPr>
        <w:tabs>
          <w:tab w:val="clear" w:pos="360"/>
        </w:tabs>
        <w:spacing w:after="120" w:line="259" w:lineRule="auto"/>
        <w:ind w:left="426" w:hanging="426"/>
        <w:jc w:val="both"/>
        <w:rPr>
          <w:rFonts w:ascii="Verdana" w:hAnsi="Verdana"/>
          <w:b/>
          <w:szCs w:val="24"/>
        </w:rPr>
      </w:pPr>
      <w:r w:rsidRPr="00C95363">
        <w:rPr>
          <w:rFonts w:ascii="Verdana" w:hAnsi="Verdana"/>
          <w:b/>
          <w:szCs w:val="24"/>
        </w:rPr>
        <w:t>Målgruppe/ansvar</w:t>
      </w:r>
    </w:p>
    <w:p w:rsidR="00563B04" w:rsidRPr="005F61A2" w:rsidP="005924A1" w14:paraId="233EAD90" w14:textId="1298B510">
      <w:pPr>
        <w:spacing w:after="120"/>
        <w:ind w:left="426"/>
        <w:jc w:val="both"/>
        <w:rPr>
          <w:rFonts w:ascii="Verdana" w:hAnsi="Verdana"/>
          <w:sz w:val="20"/>
        </w:rPr>
      </w:pPr>
      <w:r w:rsidRPr="005F61A2">
        <w:rPr>
          <w:rFonts w:ascii="Verdana" w:hAnsi="Verdana"/>
          <w:sz w:val="20"/>
        </w:rPr>
        <w:t>Målgruppen</w:t>
      </w:r>
      <w:r w:rsidR="005F61A2">
        <w:rPr>
          <w:rFonts w:ascii="Verdana" w:hAnsi="Verdana"/>
          <w:sz w:val="20"/>
        </w:rPr>
        <w:t xml:space="preserve"> for prosedyren</w:t>
      </w:r>
      <w:r w:rsidRPr="005F61A2">
        <w:rPr>
          <w:rFonts w:ascii="Verdana" w:hAnsi="Verdana"/>
          <w:sz w:val="20"/>
        </w:rPr>
        <w:t xml:space="preserve"> er studenter, </w:t>
      </w:r>
      <w:r w:rsidRPr="005F61A2" w:rsidR="00C95363">
        <w:rPr>
          <w:rFonts w:ascii="Verdana" w:hAnsi="Verdana"/>
          <w:sz w:val="20"/>
        </w:rPr>
        <w:t>studieadministrasjonen</w:t>
      </w:r>
      <w:r w:rsidR="00C95363">
        <w:rPr>
          <w:rFonts w:ascii="Verdana" w:hAnsi="Verdana"/>
          <w:sz w:val="20"/>
        </w:rPr>
        <w:t>,</w:t>
      </w:r>
      <w:r w:rsidRPr="005F61A2" w:rsidR="00C95363">
        <w:rPr>
          <w:rFonts w:ascii="Verdana" w:hAnsi="Verdana"/>
          <w:sz w:val="20"/>
        </w:rPr>
        <w:t xml:space="preserve"> </w:t>
      </w:r>
      <w:r w:rsidRPr="005F61A2">
        <w:rPr>
          <w:rFonts w:ascii="Verdana" w:hAnsi="Verdana"/>
          <w:sz w:val="20"/>
        </w:rPr>
        <w:t>utdanningsleder, undervisningspersonell</w:t>
      </w:r>
      <w:r w:rsidR="00C95363">
        <w:rPr>
          <w:rFonts w:ascii="Verdana" w:hAnsi="Verdana"/>
          <w:sz w:val="20"/>
        </w:rPr>
        <w:t xml:space="preserve"> </w:t>
      </w:r>
      <w:r w:rsidRPr="005F61A2">
        <w:rPr>
          <w:rFonts w:ascii="Verdana" w:hAnsi="Verdana"/>
          <w:sz w:val="20"/>
        </w:rPr>
        <w:t>og saksbehandler for den enkelte klagesak</w:t>
      </w:r>
      <w:r w:rsidR="00C95363">
        <w:rPr>
          <w:rFonts w:ascii="Verdana" w:hAnsi="Verdana"/>
          <w:sz w:val="20"/>
        </w:rPr>
        <w:t>.</w:t>
      </w:r>
    </w:p>
    <w:p w:rsidR="005924A1" w:rsidRPr="005F61A2" w:rsidP="005924A1" w14:paraId="02EC081C" w14:textId="77777777">
      <w:pPr>
        <w:spacing w:after="120"/>
        <w:ind w:left="426"/>
        <w:jc w:val="both"/>
        <w:rPr>
          <w:rFonts w:ascii="Verdana" w:hAnsi="Verdana"/>
          <w:sz w:val="20"/>
        </w:rPr>
      </w:pPr>
    </w:p>
    <w:p w:rsidR="005F61A2" w:rsidRPr="00C95363" w:rsidP="005F61A2" w14:paraId="3BA3E5E7" w14:textId="77777777">
      <w:pPr>
        <w:numPr>
          <w:ilvl w:val="0"/>
          <w:numId w:val="1"/>
        </w:numPr>
        <w:spacing w:after="120"/>
        <w:rPr>
          <w:rFonts w:ascii="Verdana" w:hAnsi="Verdana"/>
          <w:b/>
          <w:szCs w:val="24"/>
        </w:rPr>
      </w:pPr>
      <w:r w:rsidRPr="00C95363">
        <w:rPr>
          <w:rFonts w:ascii="Verdana" w:hAnsi="Verdana"/>
          <w:b/>
          <w:szCs w:val="24"/>
        </w:rPr>
        <w:t>Forklaring av ord og uttrykk</w:t>
      </w:r>
    </w:p>
    <w:p w:rsidR="005F61A2" w:rsidRPr="005F61A2" w:rsidP="005F61A2" w14:paraId="05414647" w14:textId="77777777">
      <w:pPr>
        <w:spacing w:after="120" w:line="259" w:lineRule="auto"/>
        <w:ind w:left="426"/>
        <w:jc w:val="both"/>
        <w:rPr>
          <w:rFonts w:ascii="Verdana" w:hAnsi="Verdana"/>
          <w:bCs/>
          <w:sz w:val="20"/>
        </w:rPr>
      </w:pPr>
      <w:r w:rsidRPr="005F61A2">
        <w:rPr>
          <w:rFonts w:ascii="Verdana" w:hAnsi="Verdana"/>
          <w:bCs/>
          <w:sz w:val="20"/>
        </w:rPr>
        <w:t xml:space="preserve">Studenter som utdannes ved Trøndelag høyere yrkesfagskole (THYF) har klagerett i </w:t>
      </w:r>
      <w:r w:rsidRPr="005F61A2">
        <w:rPr>
          <w:rFonts w:ascii="Verdana" w:hAnsi="Verdana"/>
          <w:bCs/>
          <w:sz w:val="20"/>
        </w:rPr>
        <w:t>henhold til lov og forskrifter for høyere yrkesfaglig utdanning.</w:t>
      </w:r>
    </w:p>
    <w:p w:rsidR="005F61A2" w:rsidRPr="005F61A2" w:rsidP="005F61A2" w14:paraId="3431CC03" w14:textId="77777777">
      <w:pPr>
        <w:spacing w:after="120" w:line="259" w:lineRule="auto"/>
        <w:ind w:left="426"/>
        <w:jc w:val="both"/>
        <w:rPr>
          <w:rFonts w:ascii="Verdana" w:hAnsi="Verdana"/>
          <w:bCs/>
          <w:sz w:val="20"/>
        </w:rPr>
      </w:pPr>
      <w:r w:rsidRPr="005F61A2">
        <w:rPr>
          <w:rFonts w:ascii="Verdana" w:hAnsi="Verdana"/>
          <w:bCs/>
          <w:sz w:val="20"/>
        </w:rPr>
        <w:t xml:space="preserve">Hva en klage? Her følger noen eksempler på slike saker. </w:t>
      </w:r>
    </w:p>
    <w:p w:rsidR="005F61A2" w:rsidRPr="005F61A2" w:rsidP="005F61A2" w14:paraId="756C6E19" w14:textId="77777777">
      <w:pPr>
        <w:spacing w:after="120" w:line="259" w:lineRule="auto"/>
        <w:ind w:left="426"/>
        <w:jc w:val="both"/>
        <w:rPr>
          <w:rFonts w:ascii="Verdana" w:hAnsi="Verdana"/>
          <w:bCs/>
          <w:sz w:val="20"/>
        </w:rPr>
      </w:pPr>
      <w:r w:rsidRPr="005F61A2">
        <w:rPr>
          <w:rFonts w:ascii="Verdana" w:hAnsi="Verdana"/>
          <w:bCs/>
          <w:sz w:val="20"/>
        </w:rPr>
        <w:t xml:space="preserve">Klage: </w:t>
      </w:r>
    </w:p>
    <w:p w:rsidR="005F61A2" w:rsidRPr="005F61A2" w:rsidP="005F61A2" w14:paraId="5BC89B35" w14:textId="77777777">
      <w:pPr>
        <w:spacing w:after="120" w:line="259" w:lineRule="auto"/>
        <w:ind w:left="426"/>
        <w:jc w:val="both"/>
        <w:rPr>
          <w:rFonts w:ascii="Verdana" w:hAnsi="Verdana"/>
          <w:bCs/>
          <w:sz w:val="20"/>
        </w:rPr>
      </w:pPr>
      <w:r w:rsidRPr="005F61A2">
        <w:rPr>
          <w:rFonts w:ascii="Verdana" w:hAnsi="Verdana"/>
          <w:bCs/>
          <w:sz w:val="20"/>
        </w:rPr>
        <w:t xml:space="preserve">Eks. 1: Klage på feil i eksamensgjennomføring eller karakter på eksamen. Saken meldes inn til studieadministrasjonen, se også beskrivelse under avsnitt 5. </w:t>
      </w:r>
    </w:p>
    <w:p w:rsidR="005F61A2" w:rsidP="005F61A2" w14:paraId="4B79CDC1" w14:textId="6835B678">
      <w:pPr>
        <w:spacing w:after="120" w:line="259" w:lineRule="auto"/>
        <w:ind w:left="426"/>
        <w:jc w:val="both"/>
        <w:rPr>
          <w:rFonts w:ascii="Verdana" w:hAnsi="Verdana"/>
          <w:bCs/>
          <w:sz w:val="20"/>
        </w:rPr>
      </w:pPr>
      <w:r w:rsidRPr="005F61A2">
        <w:rPr>
          <w:rFonts w:ascii="Verdana" w:hAnsi="Verdana"/>
          <w:bCs/>
          <w:sz w:val="20"/>
        </w:rPr>
        <w:t xml:space="preserve">Eks. 2: Hvis undervisningen i et emne </w:t>
      </w:r>
      <w:r w:rsidRPr="009904A8">
        <w:rPr>
          <w:rFonts w:ascii="Verdana" w:hAnsi="Verdana"/>
          <w:bCs/>
          <w:sz w:val="20"/>
          <w:u w:val="single"/>
        </w:rPr>
        <w:t>avviker betydelig</w:t>
      </w:r>
      <w:r w:rsidRPr="005F61A2">
        <w:rPr>
          <w:rFonts w:ascii="Verdana" w:hAnsi="Verdana"/>
          <w:bCs/>
          <w:sz w:val="20"/>
        </w:rPr>
        <w:t xml:space="preserve"> fra læringsutbytte</w:t>
      </w:r>
      <w:r>
        <w:rPr>
          <w:rFonts w:ascii="Verdana" w:hAnsi="Verdana"/>
          <w:bCs/>
          <w:sz w:val="20"/>
        </w:rPr>
        <w:t xml:space="preserve"> </w:t>
      </w:r>
      <w:r w:rsidRPr="005F61A2">
        <w:rPr>
          <w:rFonts w:ascii="Verdana" w:hAnsi="Verdana"/>
          <w:bCs/>
          <w:sz w:val="20"/>
        </w:rPr>
        <w:t>beskr</w:t>
      </w:r>
      <w:r>
        <w:rPr>
          <w:rFonts w:ascii="Verdana" w:hAnsi="Verdana"/>
          <w:bCs/>
          <w:sz w:val="20"/>
        </w:rPr>
        <w:t>e</w:t>
      </w:r>
      <w:r w:rsidRPr="005F61A2">
        <w:rPr>
          <w:rFonts w:ascii="Verdana" w:hAnsi="Verdana"/>
          <w:bCs/>
          <w:sz w:val="20"/>
        </w:rPr>
        <w:t>ve</w:t>
      </w:r>
      <w:r>
        <w:rPr>
          <w:rFonts w:ascii="Verdana" w:hAnsi="Verdana"/>
          <w:bCs/>
          <w:sz w:val="20"/>
        </w:rPr>
        <w:t>t</w:t>
      </w:r>
      <w:r w:rsidRPr="005F61A2">
        <w:rPr>
          <w:rFonts w:ascii="Verdana" w:hAnsi="Verdana"/>
          <w:bCs/>
          <w:sz w:val="20"/>
        </w:rPr>
        <w:t xml:space="preserve"> i studieplanen som omfatter utdanningen og emnet</w:t>
      </w:r>
      <w:r>
        <w:rPr>
          <w:rFonts w:ascii="Verdana" w:hAnsi="Verdana"/>
          <w:bCs/>
          <w:sz w:val="20"/>
        </w:rPr>
        <w:t>/emner</w:t>
      </w:r>
      <w:r>
        <w:rPr>
          <w:rStyle w:val="FootnoteReference"/>
          <w:rFonts w:ascii="Verdana" w:hAnsi="Verdana"/>
          <w:bCs/>
          <w:sz w:val="20"/>
        </w:rPr>
        <w:footnoteReference w:id="3"/>
      </w:r>
      <w:r w:rsidRPr="005F61A2">
        <w:rPr>
          <w:rFonts w:ascii="Verdana" w:hAnsi="Verdana"/>
          <w:bCs/>
          <w:sz w:val="20"/>
        </w:rPr>
        <w:t>,</w:t>
      </w:r>
      <w:r w:rsidR="00676678">
        <w:rPr>
          <w:rFonts w:ascii="Verdana" w:hAnsi="Verdana"/>
          <w:bCs/>
          <w:sz w:val="20"/>
        </w:rPr>
        <w:t xml:space="preserve"> </w:t>
      </w:r>
      <w:r w:rsidRPr="005F61A2">
        <w:rPr>
          <w:rFonts w:ascii="Verdana" w:hAnsi="Verdana"/>
          <w:bCs/>
          <w:sz w:val="20"/>
        </w:rPr>
        <w:t>se også avsnitt 5.</w:t>
      </w:r>
    </w:p>
    <w:p w:rsidR="00676678" w:rsidP="005F61A2" w14:paraId="27D266C2" w14:textId="77777777">
      <w:pPr>
        <w:spacing w:after="120" w:line="259" w:lineRule="auto"/>
        <w:ind w:left="426"/>
        <w:jc w:val="both"/>
        <w:rPr>
          <w:rFonts w:ascii="Verdana" w:hAnsi="Verdana"/>
          <w:bCs/>
          <w:sz w:val="20"/>
        </w:rPr>
      </w:pPr>
    </w:p>
    <w:p w:rsidR="005F61A2" w:rsidRPr="005F61A2" w:rsidP="005F61A2" w14:paraId="284FA687" w14:textId="77777777">
      <w:pPr>
        <w:spacing w:after="120" w:line="259" w:lineRule="auto"/>
        <w:ind w:left="426"/>
        <w:jc w:val="both"/>
        <w:rPr>
          <w:rFonts w:ascii="Verdana" w:hAnsi="Verdana"/>
          <w:bCs/>
          <w:sz w:val="20"/>
        </w:rPr>
      </w:pPr>
    </w:p>
    <w:p w:rsidR="00563B04" w:rsidRPr="00C95363" w:rsidP="005924A1" w14:paraId="357AA5BD" w14:textId="445351E6">
      <w:pPr>
        <w:numPr>
          <w:ilvl w:val="0"/>
          <w:numId w:val="1"/>
        </w:numPr>
        <w:tabs>
          <w:tab w:val="clear" w:pos="360"/>
          <w:tab w:val="num" w:pos="426"/>
        </w:tabs>
        <w:spacing w:after="120" w:line="259" w:lineRule="auto"/>
        <w:ind w:left="426" w:hanging="426"/>
        <w:jc w:val="both"/>
        <w:rPr>
          <w:rFonts w:ascii="Verdana" w:hAnsi="Verdana"/>
          <w:b/>
          <w:szCs w:val="24"/>
        </w:rPr>
      </w:pPr>
      <w:r w:rsidRPr="00C95363">
        <w:rPr>
          <w:rFonts w:ascii="Verdana" w:hAnsi="Verdana"/>
          <w:b/>
          <w:szCs w:val="24"/>
        </w:rPr>
        <w:t>Ansvar og myndighet</w:t>
      </w:r>
    </w:p>
    <w:p w:rsidR="005F61A2" w:rsidRPr="005F61A2" w:rsidP="005F61A2" w14:paraId="6DE10805" w14:textId="77777777">
      <w:pPr>
        <w:spacing w:after="120"/>
        <w:ind w:left="426"/>
        <w:jc w:val="both"/>
        <w:rPr>
          <w:rFonts w:ascii="Verdana" w:hAnsi="Verdana"/>
          <w:sz w:val="20"/>
        </w:rPr>
      </w:pPr>
      <w:r w:rsidRPr="005F61A2">
        <w:rPr>
          <w:rFonts w:ascii="Verdana" w:hAnsi="Verdana"/>
          <w:sz w:val="20"/>
        </w:rPr>
        <w:t>Rektor har overordnet ansvar.</w:t>
      </w:r>
    </w:p>
    <w:p w:rsidR="005F61A2" w:rsidRPr="005F61A2" w:rsidP="005F61A2" w14:paraId="6CFDA52B" w14:textId="77777777">
      <w:pPr>
        <w:spacing w:after="120"/>
        <w:ind w:left="426"/>
        <w:jc w:val="both"/>
        <w:rPr>
          <w:rFonts w:ascii="Verdana" w:hAnsi="Verdana"/>
          <w:sz w:val="20"/>
        </w:rPr>
      </w:pPr>
      <w:r w:rsidRPr="005F61A2">
        <w:rPr>
          <w:rFonts w:ascii="Verdana" w:hAnsi="Verdana"/>
          <w:sz w:val="20"/>
        </w:rPr>
        <w:t xml:space="preserve">Klager </w:t>
      </w:r>
      <w:r w:rsidRPr="005F61A2">
        <w:rPr>
          <w:rFonts w:ascii="Verdana" w:hAnsi="Verdana"/>
          <w:sz w:val="20"/>
        </w:rPr>
        <w:t>meldes inn til studieadministrasjonen som er første saksbehandlingsledd når det gjelder innmelding av klager.</w:t>
      </w:r>
    </w:p>
    <w:p w:rsidR="00C95363" w:rsidP="005F61A2" w14:paraId="11DF22E4" w14:textId="77777777">
      <w:pPr>
        <w:spacing w:after="120"/>
        <w:ind w:left="426"/>
        <w:jc w:val="both"/>
        <w:rPr>
          <w:rFonts w:ascii="Verdana" w:hAnsi="Verdana"/>
          <w:sz w:val="20"/>
        </w:rPr>
      </w:pPr>
      <w:r w:rsidRPr="005F61A2">
        <w:rPr>
          <w:rFonts w:ascii="Verdana" w:hAnsi="Verdana"/>
          <w:sz w:val="20"/>
        </w:rPr>
        <w:t>Utdanningsområdet som omfattet av klage fra student, utgjør neste saksbehandlingsledd.</w:t>
      </w:r>
    </w:p>
    <w:p w:rsidR="00C95363" w:rsidRPr="005F61A2" w:rsidP="00C95363" w14:paraId="79D9523D" w14:textId="595DBBB7">
      <w:pPr>
        <w:spacing w:after="120"/>
        <w:ind w:left="426"/>
        <w:jc w:val="both"/>
        <w:rPr>
          <w:rFonts w:ascii="Verdana" w:hAnsi="Verdana"/>
          <w:sz w:val="20"/>
        </w:rPr>
      </w:pPr>
      <w:r w:rsidRPr="005F61A2">
        <w:rPr>
          <w:rFonts w:ascii="Verdana" w:hAnsi="Verdana"/>
          <w:sz w:val="20"/>
        </w:rPr>
        <w:t>Saksbehandling ved utdanningsområdet skal skje i samarbeid med studieadministrasjonen. Om nødvendig</w:t>
      </w:r>
      <w:r>
        <w:rPr>
          <w:rFonts w:ascii="Verdana" w:hAnsi="Verdana"/>
          <w:sz w:val="20"/>
        </w:rPr>
        <w:t xml:space="preserve"> og ved behov</w:t>
      </w:r>
      <w:r w:rsidRPr="005F61A2">
        <w:rPr>
          <w:rFonts w:ascii="Verdana" w:hAnsi="Verdana"/>
          <w:sz w:val="20"/>
        </w:rPr>
        <w:t xml:space="preserve"> utpeker utdanningsleder saksbehandler.</w:t>
      </w:r>
    </w:p>
    <w:p w:rsidR="005F61A2" w:rsidP="005F61A2" w14:paraId="1B40723A" w14:textId="3DCDF7AE">
      <w:pPr>
        <w:spacing w:after="120"/>
        <w:ind w:left="426"/>
        <w:jc w:val="both"/>
        <w:rPr>
          <w:rFonts w:ascii="Verdana" w:hAnsi="Verdana"/>
          <w:sz w:val="20"/>
        </w:rPr>
      </w:pPr>
      <w:r>
        <w:rPr>
          <w:rFonts w:ascii="Verdana" w:hAnsi="Verdana"/>
          <w:sz w:val="20"/>
        </w:rPr>
        <w:t>For klagesaker behandlet av klagenemd, vil denne utgjøre det tredje saksbehandlingsleddet.</w:t>
      </w:r>
      <w:r w:rsidRPr="005F61A2">
        <w:rPr>
          <w:rFonts w:ascii="Verdana" w:hAnsi="Verdana"/>
          <w:sz w:val="20"/>
        </w:rPr>
        <w:t xml:space="preserve"> </w:t>
      </w:r>
      <w:r>
        <w:rPr>
          <w:rFonts w:ascii="Verdana" w:hAnsi="Verdana"/>
          <w:sz w:val="20"/>
        </w:rPr>
        <w:t xml:space="preserve">Klagenemda kan være utnevnt på nasjonalt nivå for klagesaker med </w:t>
      </w:r>
      <w:r>
        <w:rPr>
          <w:rFonts w:ascii="Verdana" w:hAnsi="Verdana"/>
          <w:sz w:val="20"/>
        </w:rPr>
        <w:t>klagerett i henhold til fagskoleloven. Lokal klagenemd behandler saker med klagerett i henhold til forskrifter for høyere yrkesfaglig utdanning.</w:t>
      </w:r>
    </w:p>
    <w:p w:rsidR="004D6036" w:rsidRPr="00C95363" w:rsidP="00C95363" w14:paraId="47AADC18" w14:textId="57D364CB">
      <w:pPr>
        <w:numPr>
          <w:ilvl w:val="0"/>
          <w:numId w:val="1"/>
        </w:numPr>
        <w:spacing w:after="120"/>
        <w:jc w:val="both"/>
        <w:rPr>
          <w:rFonts w:ascii="Verdana" w:hAnsi="Verdana"/>
          <w:b/>
          <w:szCs w:val="24"/>
        </w:rPr>
      </w:pPr>
      <w:r>
        <w:rPr>
          <w:rFonts w:ascii="Verdana" w:hAnsi="Verdana"/>
          <w:sz w:val="22"/>
          <w:szCs w:val="22"/>
        </w:rPr>
        <w:br w:type="page"/>
      </w:r>
      <w:r w:rsidRPr="00C95363" w:rsidR="00C2450F">
        <w:rPr>
          <w:rFonts w:ascii="Verdana" w:hAnsi="Verdana"/>
          <w:b/>
          <w:szCs w:val="24"/>
        </w:rPr>
        <w:t>Beskrivelse</w:t>
      </w:r>
    </w:p>
    <w:p w:rsidR="00C95363" w:rsidP="002349D1" w14:paraId="18D6856B" w14:textId="4AFB1A4D">
      <w:pPr>
        <w:autoSpaceDE w:val="0"/>
        <w:autoSpaceDN w:val="0"/>
        <w:spacing w:after="120" w:line="276" w:lineRule="auto"/>
        <w:ind w:left="426" w:firstLine="3"/>
        <w:jc w:val="both"/>
        <w:rPr>
          <w:rFonts w:ascii="Verdana" w:eastAsia="Calibri" w:hAnsi="Verdana"/>
          <w:bCs/>
          <w:color w:val="000000"/>
          <w:sz w:val="20"/>
          <w:lang w:eastAsia="en-US"/>
        </w:rPr>
      </w:pPr>
      <w:r w:rsidRPr="005F61A2">
        <w:rPr>
          <w:rFonts w:ascii="Verdana" w:eastAsia="Calibri" w:hAnsi="Verdana"/>
          <w:sz w:val="20"/>
          <w:lang w:eastAsia="en-US"/>
        </w:rPr>
        <w:t>K</w:t>
      </w:r>
      <w:r w:rsidRPr="005F61A2">
        <w:rPr>
          <w:rFonts w:ascii="Verdana" w:eastAsia="Calibri" w:hAnsi="Verdana"/>
          <w:bCs/>
          <w:color w:val="000000"/>
          <w:sz w:val="20"/>
          <w:lang w:eastAsia="en-US"/>
        </w:rPr>
        <w:t xml:space="preserve">lage på opplæring eller en ansatt kan komme via formell klage i henhold til klagerett i </w:t>
      </w:r>
      <w:r w:rsidR="002349D1">
        <w:rPr>
          <w:rFonts w:ascii="Verdana" w:eastAsia="Calibri" w:hAnsi="Verdana"/>
          <w:bCs/>
          <w:color w:val="000000"/>
          <w:sz w:val="20"/>
          <w:lang w:eastAsia="en-US"/>
        </w:rPr>
        <w:t>fagskolelov og -</w:t>
      </w:r>
      <w:r w:rsidRPr="005F61A2">
        <w:rPr>
          <w:rFonts w:ascii="Verdana" w:eastAsia="Calibri" w:hAnsi="Verdana"/>
          <w:bCs/>
          <w:color w:val="000000"/>
          <w:sz w:val="20"/>
          <w:lang w:eastAsia="en-US"/>
        </w:rPr>
        <w:t>forskrifte</w:t>
      </w:r>
      <w:r w:rsidR="002349D1">
        <w:rPr>
          <w:rFonts w:ascii="Verdana" w:eastAsia="Calibri" w:hAnsi="Verdana"/>
          <w:bCs/>
          <w:color w:val="000000"/>
          <w:sz w:val="20"/>
          <w:lang w:eastAsia="en-US"/>
        </w:rPr>
        <w:t>r</w:t>
      </w:r>
      <w:r w:rsidRPr="005F61A2">
        <w:rPr>
          <w:rFonts w:ascii="Verdana" w:eastAsia="Calibri" w:hAnsi="Verdana"/>
          <w:bCs/>
          <w:color w:val="000000"/>
          <w:sz w:val="20"/>
          <w:lang w:eastAsia="en-US"/>
        </w:rPr>
        <w:t xml:space="preserve">, klage via lærer, </w:t>
      </w:r>
      <w:r w:rsidR="002349D1">
        <w:rPr>
          <w:rFonts w:ascii="Verdana" w:eastAsia="Calibri" w:hAnsi="Verdana"/>
          <w:bCs/>
          <w:color w:val="000000"/>
          <w:sz w:val="20"/>
          <w:lang w:eastAsia="en-US"/>
        </w:rPr>
        <w:t>student</w:t>
      </w:r>
      <w:r w:rsidRPr="005F61A2">
        <w:rPr>
          <w:rFonts w:ascii="Verdana" w:eastAsia="Calibri" w:hAnsi="Verdana"/>
          <w:bCs/>
          <w:color w:val="000000"/>
          <w:sz w:val="20"/>
          <w:lang w:eastAsia="en-US"/>
        </w:rPr>
        <w:t>tillitsvalgt</w:t>
      </w:r>
      <w:r w:rsidR="002349D1">
        <w:rPr>
          <w:rFonts w:ascii="Verdana" w:eastAsia="Calibri" w:hAnsi="Verdana"/>
          <w:bCs/>
          <w:color w:val="000000"/>
          <w:sz w:val="20"/>
          <w:lang w:eastAsia="en-US"/>
        </w:rPr>
        <w:t>e</w:t>
      </w:r>
      <w:r w:rsidRPr="005F61A2">
        <w:rPr>
          <w:rFonts w:ascii="Verdana" w:eastAsia="Calibri" w:hAnsi="Verdana"/>
          <w:bCs/>
          <w:color w:val="000000"/>
          <w:sz w:val="20"/>
          <w:lang w:eastAsia="en-US"/>
        </w:rPr>
        <w:t xml:space="preserve"> eller periodiske gjennomganger, studentevalueringer m.m.</w:t>
      </w:r>
    </w:p>
    <w:p w:rsidR="00C2450F" w:rsidP="002349D1" w14:paraId="04D96C4F" w14:textId="0BE7FC39">
      <w:pPr>
        <w:autoSpaceDE w:val="0"/>
        <w:autoSpaceDN w:val="0"/>
        <w:spacing w:after="120" w:line="276" w:lineRule="auto"/>
        <w:ind w:left="426" w:firstLine="3"/>
        <w:jc w:val="both"/>
        <w:rPr>
          <w:rFonts w:ascii="Verdana" w:eastAsia="Calibri" w:hAnsi="Verdana"/>
          <w:bCs/>
          <w:color w:val="000000"/>
          <w:sz w:val="20"/>
          <w:lang w:eastAsia="en-US"/>
        </w:rPr>
      </w:pPr>
      <w:r>
        <w:rPr>
          <w:rFonts w:ascii="Verdana" w:eastAsia="Calibri" w:hAnsi="Verdana"/>
          <w:bCs/>
          <w:color w:val="000000"/>
          <w:sz w:val="20"/>
          <w:lang w:eastAsia="en-US"/>
        </w:rPr>
        <w:t xml:space="preserve">Hovedregelen er at </w:t>
      </w:r>
      <w:r w:rsidRPr="00C2450F">
        <w:rPr>
          <w:rFonts w:ascii="Verdana" w:eastAsia="Calibri" w:hAnsi="Verdana"/>
          <w:bCs/>
          <w:color w:val="000000"/>
          <w:sz w:val="20"/>
          <w:u w:val="single"/>
          <w:lang w:eastAsia="en-US"/>
        </w:rPr>
        <w:t>man søker å løse klagesak på lavest mulig nivå</w:t>
      </w:r>
      <w:r>
        <w:rPr>
          <w:rFonts w:ascii="Verdana" w:eastAsia="Calibri" w:hAnsi="Verdana"/>
          <w:bCs/>
          <w:color w:val="000000"/>
          <w:sz w:val="20"/>
          <w:lang w:eastAsia="en-US"/>
        </w:rPr>
        <w:t xml:space="preserve"> før formell klage leveres inn.</w:t>
      </w:r>
    </w:p>
    <w:p w:rsidR="002349D1" w:rsidP="002349D1" w14:paraId="0232BB0D" w14:textId="015344D9">
      <w:pPr>
        <w:autoSpaceDE w:val="0"/>
        <w:autoSpaceDN w:val="0"/>
        <w:spacing w:after="120" w:line="276" w:lineRule="auto"/>
        <w:ind w:left="426" w:firstLine="3"/>
        <w:jc w:val="both"/>
        <w:rPr>
          <w:rFonts w:ascii="Verdana" w:eastAsia="Calibri" w:hAnsi="Verdana"/>
          <w:bCs/>
          <w:color w:val="000000"/>
          <w:sz w:val="20"/>
          <w:lang w:eastAsia="en-US"/>
        </w:rPr>
      </w:pPr>
      <w:r>
        <w:rPr>
          <w:rFonts w:ascii="Verdana" w:eastAsia="Calibri" w:hAnsi="Verdana"/>
          <w:bCs/>
          <w:color w:val="000000"/>
          <w:sz w:val="20"/>
          <w:lang w:eastAsia="en-US"/>
        </w:rPr>
        <w:t xml:space="preserve">Student som ønsker å klage henstilles til å konsultere </w:t>
      </w:r>
      <w:r w:rsidR="009904A8">
        <w:rPr>
          <w:rFonts w:ascii="Verdana" w:eastAsia="Calibri" w:hAnsi="Verdana"/>
          <w:bCs/>
          <w:color w:val="000000"/>
          <w:sz w:val="20"/>
          <w:lang w:eastAsia="en-US"/>
        </w:rPr>
        <w:t xml:space="preserve">studieadministrasjon, </w:t>
      </w:r>
      <w:r>
        <w:rPr>
          <w:rFonts w:ascii="Verdana" w:eastAsia="Calibri" w:hAnsi="Verdana"/>
          <w:bCs/>
          <w:color w:val="000000"/>
          <w:sz w:val="20"/>
          <w:lang w:eastAsia="en-US"/>
        </w:rPr>
        <w:t xml:space="preserve">lærer eller ansatt, tillitsvalgt student, eller eventuelt studentombud for </w:t>
      </w:r>
      <w:r w:rsidRPr="00C2450F">
        <w:rPr>
          <w:rFonts w:ascii="Verdana" w:eastAsia="Calibri" w:hAnsi="Verdana"/>
          <w:bCs/>
          <w:color w:val="000000"/>
          <w:sz w:val="20"/>
          <w:u w:val="single"/>
          <w:lang w:eastAsia="en-US"/>
        </w:rPr>
        <w:t>rådgivning</w:t>
      </w:r>
      <w:r>
        <w:rPr>
          <w:rFonts w:ascii="Verdana" w:eastAsia="Calibri" w:hAnsi="Verdana"/>
          <w:bCs/>
          <w:color w:val="000000"/>
          <w:sz w:val="20"/>
          <w:lang w:eastAsia="en-US"/>
        </w:rPr>
        <w:t>.</w:t>
      </w:r>
    </w:p>
    <w:p w:rsidR="002349D1" w:rsidP="002349D1" w14:paraId="4D55BEC6" w14:textId="4A7B3B8D">
      <w:pPr>
        <w:autoSpaceDE w:val="0"/>
        <w:autoSpaceDN w:val="0"/>
        <w:spacing w:after="120" w:line="276" w:lineRule="auto"/>
        <w:ind w:left="426" w:firstLine="3"/>
        <w:jc w:val="both"/>
        <w:rPr>
          <w:rFonts w:ascii="Verdana" w:eastAsia="Calibri" w:hAnsi="Verdana"/>
          <w:bCs/>
          <w:color w:val="000000"/>
          <w:sz w:val="20"/>
          <w:lang w:eastAsia="en-US"/>
        </w:rPr>
      </w:pPr>
      <w:r>
        <w:rPr>
          <w:rFonts w:ascii="Verdana" w:eastAsia="Calibri" w:hAnsi="Verdana"/>
          <w:bCs/>
          <w:color w:val="000000"/>
          <w:sz w:val="20"/>
          <w:lang w:eastAsia="en-US"/>
        </w:rPr>
        <w:t xml:space="preserve">Ved klage på </w:t>
      </w:r>
      <w:r w:rsidR="009904A8">
        <w:rPr>
          <w:rFonts w:ascii="Verdana" w:eastAsia="Calibri" w:hAnsi="Verdana"/>
          <w:bCs/>
          <w:color w:val="000000"/>
          <w:sz w:val="20"/>
          <w:lang w:eastAsia="en-US"/>
        </w:rPr>
        <w:t>vurdering/</w:t>
      </w:r>
      <w:r>
        <w:rPr>
          <w:rFonts w:ascii="Verdana" w:eastAsia="Calibri" w:hAnsi="Verdana"/>
          <w:bCs/>
          <w:color w:val="000000"/>
          <w:sz w:val="20"/>
          <w:lang w:eastAsia="en-US"/>
        </w:rPr>
        <w:t xml:space="preserve">karakter skal studenten </w:t>
      </w:r>
      <w:r w:rsidRPr="009904A8">
        <w:rPr>
          <w:rFonts w:ascii="Verdana" w:eastAsia="Calibri" w:hAnsi="Verdana"/>
          <w:bCs/>
          <w:color w:val="000000"/>
          <w:sz w:val="20"/>
          <w:u w:val="single"/>
          <w:lang w:eastAsia="en-US"/>
        </w:rPr>
        <w:t>alltid be om begrunnelse</w:t>
      </w:r>
      <w:r>
        <w:rPr>
          <w:rFonts w:ascii="Verdana" w:eastAsia="Calibri" w:hAnsi="Verdana"/>
          <w:bCs/>
          <w:color w:val="000000"/>
          <w:sz w:val="20"/>
          <w:lang w:eastAsia="en-US"/>
        </w:rPr>
        <w:t xml:space="preserve"> før formell klage kan leveres.</w:t>
      </w:r>
    </w:p>
    <w:p w:rsidR="009904A8" w:rsidP="002349D1" w14:paraId="7538E966" w14:textId="63914046">
      <w:pPr>
        <w:autoSpaceDE w:val="0"/>
        <w:autoSpaceDN w:val="0"/>
        <w:spacing w:after="120" w:line="276" w:lineRule="auto"/>
        <w:ind w:left="426" w:firstLine="3"/>
        <w:jc w:val="both"/>
        <w:rPr>
          <w:rFonts w:ascii="Verdana" w:eastAsia="Calibri" w:hAnsi="Verdana"/>
          <w:bCs/>
          <w:color w:val="000000"/>
          <w:sz w:val="20"/>
          <w:lang w:eastAsia="en-US"/>
        </w:rPr>
      </w:pPr>
      <w:r>
        <w:rPr>
          <w:rFonts w:ascii="Verdana" w:eastAsia="Calibri" w:hAnsi="Verdana"/>
          <w:bCs/>
          <w:color w:val="000000"/>
          <w:sz w:val="20"/>
          <w:lang w:eastAsia="en-US"/>
        </w:rPr>
        <w:t xml:space="preserve">Klage uten konsultasjon som nevnt i avsnitt to (2) over eller begrunnelse for vurdering i avsnitt tre (3) over, vil ikke bli behandlet. </w:t>
      </w:r>
    </w:p>
    <w:p w:rsidR="002349D1" w:rsidRPr="002349D1" w:rsidP="002349D1" w14:paraId="70DF9B1D" w14:textId="77777777">
      <w:pPr>
        <w:autoSpaceDE w:val="0"/>
        <w:autoSpaceDN w:val="0"/>
        <w:spacing w:after="120" w:line="276" w:lineRule="auto"/>
        <w:ind w:left="426" w:firstLine="3"/>
        <w:jc w:val="both"/>
        <w:rPr>
          <w:rFonts w:ascii="Verdana" w:eastAsia="Calibri" w:hAnsi="Verdana"/>
          <w:bCs/>
          <w:color w:val="000000"/>
          <w:sz w:val="20"/>
          <w:lang w:eastAsia="en-US"/>
        </w:rPr>
      </w:pPr>
    </w:p>
    <w:p w:rsidR="00C95363" w:rsidRPr="00C95363" w:rsidP="00C95363" w14:paraId="267A498F" w14:textId="5989DC55">
      <w:pPr>
        <w:autoSpaceDE w:val="0"/>
        <w:autoSpaceDN w:val="0"/>
        <w:spacing w:after="120" w:line="276" w:lineRule="auto"/>
        <w:ind w:left="426" w:firstLine="3"/>
        <w:jc w:val="both"/>
        <w:rPr>
          <w:rFonts w:ascii="Verdana" w:eastAsia="Calibri" w:hAnsi="Verdana"/>
          <w:b/>
          <w:color w:val="000000"/>
          <w:sz w:val="20"/>
          <w:lang w:eastAsia="en-US"/>
        </w:rPr>
      </w:pPr>
      <w:r w:rsidRPr="00C95363">
        <w:rPr>
          <w:rFonts w:ascii="Verdana" w:eastAsia="Calibri" w:hAnsi="Verdana"/>
          <w:b/>
          <w:color w:val="000000"/>
          <w:sz w:val="20"/>
          <w:lang w:eastAsia="en-US"/>
        </w:rPr>
        <w:t>5.1 Generell klage</w:t>
      </w:r>
    </w:p>
    <w:p w:rsidR="002349D1" w:rsidP="005924A1" w14:paraId="0C781AEC" w14:textId="3A7EF315">
      <w:pPr>
        <w:spacing w:after="120" w:line="276" w:lineRule="auto"/>
        <w:ind w:left="426" w:firstLine="3"/>
        <w:jc w:val="both"/>
        <w:rPr>
          <w:rFonts w:ascii="Verdana" w:eastAsia="Calibri" w:hAnsi="Verdana"/>
          <w:sz w:val="20"/>
          <w:lang w:eastAsia="en-US"/>
        </w:rPr>
      </w:pPr>
      <w:r>
        <w:rPr>
          <w:rFonts w:ascii="Verdana" w:eastAsia="Calibri" w:hAnsi="Verdana"/>
          <w:sz w:val="20"/>
          <w:lang w:eastAsia="en-US"/>
        </w:rPr>
        <w:t xml:space="preserve">Klagegrunnlag og </w:t>
      </w:r>
      <w:r>
        <w:rPr>
          <w:rFonts w:ascii="Verdana" w:eastAsia="Calibri" w:hAnsi="Verdana"/>
          <w:sz w:val="20"/>
          <w:lang w:eastAsia="en-US"/>
        </w:rPr>
        <w:t>klagebehandling beskrives i fagskolelov og forskrifter for høyere yrkesfaglig utdanning. Lenker til lov og forskrifter er gitt som eksterne referanser, se avsnitt 6.</w:t>
      </w:r>
    </w:p>
    <w:p w:rsidR="00C95363" w:rsidP="005924A1" w14:paraId="59583675" w14:textId="3F3C4524">
      <w:pPr>
        <w:spacing w:after="120" w:line="276" w:lineRule="auto"/>
        <w:ind w:left="426" w:firstLine="3"/>
        <w:jc w:val="both"/>
        <w:rPr>
          <w:rFonts w:ascii="Verdana" w:eastAsia="Calibri" w:hAnsi="Verdana"/>
          <w:sz w:val="20"/>
          <w:lang w:eastAsia="en-US"/>
        </w:rPr>
      </w:pPr>
      <w:r>
        <w:rPr>
          <w:rFonts w:ascii="Verdana" w:eastAsia="Calibri" w:hAnsi="Verdana"/>
          <w:sz w:val="20"/>
          <w:lang w:eastAsia="en-US"/>
        </w:rPr>
        <w:t xml:space="preserve">Eksempler på generelle klager er </w:t>
      </w:r>
      <w:r w:rsidR="00676678">
        <w:rPr>
          <w:rFonts w:ascii="Verdana" w:eastAsia="Calibri" w:hAnsi="Verdana"/>
          <w:sz w:val="20"/>
          <w:lang w:eastAsia="en-US"/>
        </w:rPr>
        <w:t>beskrevet</w:t>
      </w:r>
      <w:r>
        <w:rPr>
          <w:rFonts w:ascii="Verdana" w:eastAsia="Calibri" w:hAnsi="Verdana"/>
          <w:sz w:val="20"/>
          <w:lang w:eastAsia="en-US"/>
        </w:rPr>
        <w:t xml:space="preserve"> på THYFs nettsider</w:t>
      </w:r>
      <w:r w:rsidR="00676678">
        <w:rPr>
          <w:rFonts w:ascii="Verdana" w:eastAsia="Calibri" w:hAnsi="Verdana"/>
          <w:sz w:val="20"/>
          <w:lang w:eastAsia="en-US"/>
        </w:rPr>
        <w:t xml:space="preserve"> om klager</w:t>
      </w:r>
      <w:r>
        <w:rPr>
          <w:rFonts w:ascii="Verdana" w:eastAsia="Calibri" w:hAnsi="Verdana"/>
          <w:sz w:val="20"/>
          <w:lang w:eastAsia="en-US"/>
        </w:rPr>
        <w:t>. For lenke</w:t>
      </w:r>
      <w:r w:rsidR="00676678">
        <w:rPr>
          <w:rFonts w:ascii="Verdana" w:eastAsia="Calibri" w:hAnsi="Verdana"/>
          <w:sz w:val="20"/>
          <w:lang w:eastAsia="en-US"/>
        </w:rPr>
        <w:t xml:space="preserve"> til nettsiden</w:t>
      </w:r>
      <w:r>
        <w:rPr>
          <w:rFonts w:ascii="Verdana" w:eastAsia="Calibri" w:hAnsi="Verdana"/>
          <w:sz w:val="20"/>
          <w:lang w:eastAsia="en-US"/>
        </w:rPr>
        <w:t>, se eksterne referanser under avsnitt 6.</w:t>
      </w:r>
    </w:p>
    <w:p w:rsidR="002349D1" w:rsidP="005924A1" w14:paraId="431326A7" w14:textId="77777777">
      <w:pPr>
        <w:spacing w:after="120" w:line="276" w:lineRule="auto"/>
        <w:ind w:left="426" w:firstLine="3"/>
        <w:jc w:val="both"/>
        <w:rPr>
          <w:rFonts w:ascii="Verdana" w:eastAsia="Calibri" w:hAnsi="Verdana"/>
          <w:sz w:val="20"/>
          <w:lang w:eastAsia="en-US"/>
        </w:rPr>
      </w:pPr>
    </w:p>
    <w:p w:rsidR="00C95363" w:rsidRPr="002349D1" w:rsidP="005924A1" w14:paraId="071809EC" w14:textId="6811FFE2">
      <w:pPr>
        <w:spacing w:after="120" w:line="276" w:lineRule="auto"/>
        <w:ind w:left="426" w:firstLine="3"/>
        <w:jc w:val="both"/>
        <w:rPr>
          <w:rFonts w:ascii="Verdana" w:eastAsia="Calibri" w:hAnsi="Verdana"/>
          <w:b/>
          <w:bCs/>
          <w:sz w:val="20"/>
          <w:lang w:eastAsia="en-US"/>
        </w:rPr>
      </w:pPr>
      <w:r w:rsidRPr="002349D1">
        <w:rPr>
          <w:rFonts w:ascii="Verdana" w:eastAsia="Calibri" w:hAnsi="Verdana"/>
          <w:b/>
          <w:bCs/>
          <w:sz w:val="20"/>
          <w:lang w:eastAsia="en-US"/>
        </w:rPr>
        <w:t>5.2 Klage på undervisning/opplæring:</w:t>
      </w:r>
    </w:p>
    <w:p w:rsidR="00C2450F" w:rsidP="005924A1" w14:paraId="6C42417F" w14:textId="77777777">
      <w:pPr>
        <w:spacing w:after="120" w:line="276" w:lineRule="auto"/>
        <w:ind w:left="426" w:firstLine="3"/>
        <w:jc w:val="both"/>
        <w:rPr>
          <w:rFonts w:ascii="Verdana" w:eastAsia="Calibri" w:hAnsi="Verdana"/>
          <w:sz w:val="20"/>
          <w:lang w:eastAsia="en-US"/>
        </w:rPr>
      </w:pPr>
      <w:r>
        <w:rPr>
          <w:rFonts w:ascii="Verdana" w:eastAsia="Calibri" w:hAnsi="Verdana"/>
          <w:sz w:val="20"/>
          <w:lang w:eastAsia="en-US"/>
        </w:rPr>
        <w:t>Ved klage p</w:t>
      </w:r>
      <w:r w:rsidR="009904A8">
        <w:rPr>
          <w:rFonts w:ascii="Verdana" w:eastAsia="Calibri" w:hAnsi="Verdana"/>
          <w:sz w:val="20"/>
          <w:lang w:eastAsia="en-US"/>
        </w:rPr>
        <w:t>å undervisning</w:t>
      </w:r>
      <w:r w:rsidR="00676678">
        <w:rPr>
          <w:rFonts w:ascii="Verdana" w:eastAsia="Calibri" w:hAnsi="Verdana"/>
          <w:sz w:val="20"/>
          <w:lang w:eastAsia="en-US"/>
        </w:rPr>
        <w:t xml:space="preserve"> forutsettes det at undervisningen avviker </w:t>
      </w:r>
      <w:r>
        <w:rPr>
          <w:rFonts w:ascii="Verdana" w:eastAsia="Calibri" w:hAnsi="Verdana"/>
          <w:sz w:val="20"/>
          <w:lang w:eastAsia="en-US"/>
        </w:rPr>
        <w:t xml:space="preserve">betydelig </w:t>
      </w:r>
      <w:r w:rsidR="00676678">
        <w:rPr>
          <w:rFonts w:ascii="Verdana" w:eastAsia="Calibri" w:hAnsi="Verdana"/>
          <w:sz w:val="20"/>
          <w:lang w:eastAsia="en-US"/>
        </w:rPr>
        <w:t xml:space="preserve">fra beskrivelse av læringsutbytte og </w:t>
      </w:r>
      <w:r>
        <w:rPr>
          <w:rFonts w:ascii="Verdana" w:eastAsia="Calibri" w:hAnsi="Verdana"/>
          <w:sz w:val="20"/>
          <w:lang w:eastAsia="en-US"/>
        </w:rPr>
        <w:t>arbeids</w:t>
      </w:r>
      <w:r w:rsidR="00676678">
        <w:rPr>
          <w:rFonts w:ascii="Verdana" w:eastAsia="Calibri" w:hAnsi="Verdana"/>
          <w:sz w:val="20"/>
          <w:lang w:eastAsia="en-US"/>
        </w:rPr>
        <w:t>krav</w:t>
      </w:r>
      <w:r>
        <w:rPr>
          <w:rFonts w:ascii="Verdana" w:eastAsia="Calibri" w:hAnsi="Verdana"/>
          <w:sz w:val="20"/>
          <w:lang w:eastAsia="en-US"/>
        </w:rPr>
        <w:t xml:space="preserve">. I tillegg skal forholdet være tatt opp med den/de lærerne dette gjelder. </w:t>
      </w:r>
    </w:p>
    <w:p w:rsidR="002349D1" w:rsidP="005924A1" w14:paraId="6E7D834D" w14:textId="3E52D202">
      <w:pPr>
        <w:spacing w:after="120" w:line="276" w:lineRule="auto"/>
        <w:ind w:left="426" w:firstLine="3"/>
        <w:jc w:val="both"/>
        <w:rPr>
          <w:rFonts w:ascii="Verdana" w:eastAsia="Calibri" w:hAnsi="Verdana"/>
          <w:sz w:val="20"/>
          <w:lang w:eastAsia="en-US"/>
        </w:rPr>
      </w:pPr>
      <w:r>
        <w:rPr>
          <w:rFonts w:ascii="Verdana" w:eastAsia="Calibri" w:hAnsi="Verdana"/>
          <w:sz w:val="20"/>
          <w:lang w:eastAsia="en-US"/>
        </w:rPr>
        <w:t>Saken bør eksempelvis tas opp direkte med den det gjelder, gjennom studentevaluering av undervisning eller via tillitsvalgt student. Saken kan også tas opp med utdanningsleder for det utdanningsområdet som har ansvar for utdanning eller emne.</w:t>
      </w:r>
    </w:p>
    <w:p w:rsidR="00676678" w:rsidP="005924A1" w14:paraId="2F584CE8" w14:textId="77777777">
      <w:pPr>
        <w:spacing w:after="120" w:line="276" w:lineRule="auto"/>
        <w:ind w:left="426" w:firstLine="3"/>
        <w:jc w:val="both"/>
        <w:rPr>
          <w:rFonts w:ascii="Verdana" w:eastAsia="Calibri" w:hAnsi="Verdana"/>
          <w:sz w:val="20"/>
          <w:lang w:eastAsia="en-US"/>
        </w:rPr>
      </w:pPr>
    </w:p>
    <w:p w:rsidR="002349D1" w:rsidRPr="002349D1" w:rsidP="005924A1" w14:paraId="3D639C9D" w14:textId="5E218D8D">
      <w:pPr>
        <w:spacing w:after="120" w:line="276" w:lineRule="auto"/>
        <w:ind w:left="426" w:firstLine="3"/>
        <w:jc w:val="both"/>
        <w:rPr>
          <w:rFonts w:ascii="Verdana" w:eastAsia="Calibri" w:hAnsi="Verdana"/>
          <w:b/>
          <w:bCs/>
          <w:sz w:val="20"/>
          <w:lang w:eastAsia="en-US"/>
        </w:rPr>
      </w:pPr>
      <w:r w:rsidRPr="002349D1">
        <w:rPr>
          <w:rFonts w:ascii="Verdana" w:eastAsia="Calibri" w:hAnsi="Verdana"/>
          <w:b/>
          <w:bCs/>
          <w:sz w:val="20"/>
          <w:lang w:eastAsia="en-US"/>
        </w:rPr>
        <w:t>5.3 Tiltak ved klage:</w:t>
      </w:r>
    </w:p>
    <w:p w:rsidR="00C2450F" w:rsidP="005924A1" w14:paraId="24CF1A27" w14:textId="77777777">
      <w:pPr>
        <w:spacing w:after="120" w:line="276" w:lineRule="auto"/>
        <w:ind w:left="426" w:firstLine="3"/>
        <w:jc w:val="both"/>
        <w:rPr>
          <w:rFonts w:ascii="Verdana" w:eastAsia="Calibri" w:hAnsi="Verdana"/>
          <w:sz w:val="20"/>
          <w:lang w:eastAsia="en-US"/>
        </w:rPr>
      </w:pPr>
      <w:r w:rsidRPr="005F61A2">
        <w:rPr>
          <w:rFonts w:ascii="Verdana" w:eastAsia="Calibri" w:hAnsi="Verdana"/>
          <w:sz w:val="20"/>
          <w:lang w:eastAsia="en-US"/>
        </w:rPr>
        <w:t xml:space="preserve">Tiltakene kan variere i omfang alt etter hva klagen går ut på. Det skal gjennom samtaler kartlegges hva grunnen til klagen på opplæringen, og tiltak skal settes inn. </w:t>
      </w:r>
    </w:p>
    <w:p w:rsidR="004D6036" w:rsidRPr="005F61A2" w:rsidP="005924A1" w14:paraId="47AADC1B" w14:textId="0A4F71D8">
      <w:pPr>
        <w:spacing w:after="120" w:line="276" w:lineRule="auto"/>
        <w:ind w:left="426" w:firstLine="3"/>
        <w:jc w:val="both"/>
        <w:rPr>
          <w:rFonts w:ascii="Verdana" w:eastAsia="Calibri" w:hAnsi="Verdana"/>
          <w:sz w:val="20"/>
          <w:lang w:eastAsia="en-US"/>
        </w:rPr>
      </w:pPr>
      <w:r w:rsidRPr="005F61A2">
        <w:rPr>
          <w:rFonts w:ascii="Verdana" w:eastAsia="Calibri" w:hAnsi="Verdana"/>
          <w:sz w:val="20"/>
          <w:lang w:eastAsia="en-US"/>
        </w:rPr>
        <w:t>Uavhengig av hva som er grunnen til klagen, skal skolens ledelse treffe nødvendige tiltak for å sikre at læringsutbyttet beskrevet i studieplan oppfylles. Mulige tiltak vurderes for den enkelte innmeldte sak.</w:t>
      </w:r>
    </w:p>
    <w:p w:rsidR="004D6036" w:rsidRPr="005F61A2" w:rsidP="005924A1" w14:paraId="47AADC1D" w14:textId="408F2A41">
      <w:pPr>
        <w:autoSpaceDE w:val="0"/>
        <w:autoSpaceDN w:val="0"/>
        <w:spacing w:after="120" w:line="276" w:lineRule="auto"/>
        <w:ind w:left="426"/>
        <w:jc w:val="both"/>
        <w:rPr>
          <w:rFonts w:ascii="Verdana" w:eastAsia="Calibri" w:hAnsi="Verdana"/>
          <w:sz w:val="20"/>
          <w:lang w:eastAsia="en-US"/>
        </w:rPr>
      </w:pPr>
      <w:r w:rsidRPr="005F61A2">
        <w:rPr>
          <w:rFonts w:ascii="Verdana" w:eastAsia="Calibri" w:hAnsi="Verdana"/>
          <w:sz w:val="20"/>
          <w:lang w:eastAsia="en-US"/>
        </w:rPr>
        <w:t xml:space="preserve">Dersom det blir fattet enkeltvedtak i saken, arkiveres </w:t>
      </w:r>
      <w:r>
        <w:rPr>
          <w:rFonts w:ascii="Verdana" w:eastAsia="Calibri" w:hAnsi="Verdana"/>
          <w:sz w:val="20"/>
          <w:lang w:eastAsia="en-US"/>
        </w:rPr>
        <w:t>ve</w:t>
      </w:r>
      <w:r w:rsidRPr="005F61A2">
        <w:rPr>
          <w:rFonts w:ascii="Verdana" w:eastAsia="Calibri" w:hAnsi="Verdana"/>
          <w:sz w:val="20"/>
          <w:lang w:eastAsia="en-US"/>
        </w:rPr>
        <w:t>d</w:t>
      </w:r>
      <w:r>
        <w:rPr>
          <w:rFonts w:ascii="Verdana" w:eastAsia="Calibri" w:hAnsi="Verdana"/>
          <w:sz w:val="20"/>
          <w:lang w:eastAsia="en-US"/>
        </w:rPr>
        <w:t>tak</w:t>
      </w:r>
      <w:r w:rsidRPr="005F61A2">
        <w:rPr>
          <w:rFonts w:ascii="Verdana" w:eastAsia="Calibri" w:hAnsi="Verdana"/>
          <w:sz w:val="20"/>
          <w:lang w:eastAsia="en-US"/>
        </w:rPr>
        <w:t>et i Public 360.</w:t>
      </w:r>
    </w:p>
    <w:p w:rsidR="004D6036" w:rsidRPr="005F61A2" w:rsidP="00C2450F" w14:paraId="47AADC22" w14:textId="3941D4FE">
      <w:pPr>
        <w:numPr>
          <w:ilvl w:val="0"/>
          <w:numId w:val="1"/>
        </w:numPr>
        <w:spacing w:after="120"/>
        <w:jc w:val="both"/>
        <w:rPr>
          <w:rFonts w:ascii="Verdana" w:hAnsi="Verdana"/>
          <w:b/>
          <w:sz w:val="22"/>
          <w:szCs w:val="22"/>
        </w:rPr>
      </w:pPr>
      <w:r>
        <w:rPr>
          <w:rFonts w:ascii="Verdana" w:hAnsi="Verdana"/>
          <w:sz w:val="22"/>
          <w:szCs w:val="22"/>
        </w:rPr>
        <w:br w:type="page"/>
      </w:r>
      <w:r w:rsidR="00385D82">
        <w:rPr>
          <w:rFonts w:ascii="Verdana" w:hAnsi="Verdana"/>
          <w:b/>
          <w:sz w:val="22"/>
          <w:szCs w:val="22"/>
        </w:rPr>
        <w:t>Referanser</w:t>
      </w:r>
    </w:p>
    <w:p w:rsidR="00385D82" w:rsidRPr="00385D82" w:rsidP="00385D82" w14:paraId="2B913A5C" w14:textId="77777777">
      <w:pPr>
        <w:spacing w:after="120"/>
        <w:jc w:val="both"/>
        <w:rPr>
          <w:rFonts w:ascii="Verdana" w:hAnsi="Verdana"/>
          <w:sz w:val="20"/>
        </w:rPr>
      </w:pPr>
      <w:r w:rsidRPr="00385D82">
        <w:rPr>
          <w:rFonts w:ascii="Verdana" w:hAnsi="Verdana"/>
          <w:sz w:val="20"/>
        </w:rPr>
        <w:t>Kryssreferanser henviser til dokumenter som finnes i THYFs ledelsessystem. Eksterne referanser henviser til dokumenter som ligger tilgjengelig utenfor ledelsessystemet.</w:t>
      </w:r>
    </w:p>
    <w:p w:rsidR="004D6036" w:rsidRPr="00385D82" w:rsidP="00385D82" w14:paraId="47AADC24" w14:textId="7D78A393">
      <w:pPr>
        <w:spacing w:after="120"/>
        <w:jc w:val="both"/>
        <w:rPr>
          <w:rFonts w:ascii="Verdana" w:hAnsi="Verdana"/>
          <w:sz w:val="20"/>
        </w:rPr>
      </w:pPr>
      <w:r w:rsidRPr="00385D82">
        <w:rPr>
          <w:rFonts w:ascii="Verdana" w:hAnsi="Verdana"/>
          <w:sz w:val="20"/>
        </w:rPr>
        <w:t xml:space="preserve">Referanser utgjør viktige </w:t>
      </w:r>
      <w:r w:rsidRPr="00385D82">
        <w:rPr>
          <w:rFonts w:ascii="Verdana" w:hAnsi="Verdana"/>
          <w:sz w:val="20"/>
        </w:rPr>
        <w:t>systemforbindelser til relaterte dokumenter, skjema, prosessflytdiagram, nettsteder, eller annen relevant informasjon som for eksempel lover, forskrifter og standarder.</w:t>
      </w:r>
    </w:p>
    <w:p w:rsidR="004D6036" w:rsidRPr="005F61A2" w:rsidP="005924A1" w14:paraId="47AADC25" w14:textId="77777777">
      <w:pPr>
        <w:jc w:val="both"/>
        <w:rPr>
          <w:rFonts w:ascii="Verdana" w:hAnsi="Verdana"/>
          <w:sz w:val="22"/>
          <w:szCs w:val="22"/>
        </w:rPr>
      </w:pPr>
    </w:p>
    <w:p w:rsidR="001C0FFA" w:rsidRPr="005F61A2" w14:paraId="47AADC2D" w14:textId="77777777">
      <w:pPr>
        <w:rPr>
          <w:rFonts w:ascii="Verdana" w:hAnsi="Verdana"/>
          <w:sz w:val="22"/>
          <w:szCs w:val="22"/>
        </w:rPr>
      </w:pPr>
    </w:p>
    <w:p w:rsidR="001C0FFA" w:rsidRPr="005F61A2" w:rsidP="00031C32" w14:paraId="47AADC31" w14:textId="77777777">
      <w:pPr>
        <w:spacing w:after="120"/>
        <w:rPr>
          <w:rFonts w:ascii="Verdana" w:hAnsi="Verdana"/>
          <w:b/>
          <w:bCs/>
          <w:color w:val="808080"/>
          <w:sz w:val="22"/>
          <w:szCs w:val="22"/>
        </w:rPr>
      </w:pPr>
      <w:r w:rsidRPr="005F61A2">
        <w:rPr>
          <w:rFonts w:ascii="Verdana" w:hAnsi="Verdana"/>
          <w:b/>
          <w:bCs/>
          <w:sz w:val="22"/>
          <w:szCs w:val="22"/>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pPr>
              <w:numPr>
                <w:ilvl w:val="0"/>
                <w:numId w:val="0"/>
              </w:numPr>
              <w:rPr>
                <w:b w:val="0"/>
                <w:color w:val="0000FF"/>
                <w:u w:val="single"/>
              </w:rPr>
            </w:pPr>
            <w:bookmarkStart w:id="1" w:name="EK_Referanse"/>
            <w:hyperlink r:id="rId6" w:history="1">
              <w:r>
                <w:rPr>
                  <w:b w:val="0"/>
                  <w:color w:val="0000FF"/>
                  <w:u w:val="single"/>
                </w:rPr>
                <w:t>1.2.3</w:t>
              </w:r>
            </w:hyperlink>
          </w:p>
        </w:tc>
        <w:tc>
          <w:tcPr>
            <w:tcW w:w="3750" w:type="pct"/>
            <w:tcBorders>
              <w:top w:val="nil"/>
              <w:left w:val="nil"/>
              <w:bottom w:val="nil"/>
              <w:right w:val="nil"/>
            </w:tcBorders>
          </w:tcPr>
          <w:p>
            <w:pPr>
              <w:numPr>
                <w:ilvl w:val="0"/>
                <w:numId w:val="0"/>
              </w:numPr>
              <w:rPr>
                <w:b w:val="0"/>
                <w:color w:val="0000FF"/>
                <w:u w:val="single"/>
              </w:rPr>
            </w:pPr>
            <w:hyperlink r:id="rId6" w:history="1">
              <w:r>
                <w:rPr>
                  <w:b w:val="0"/>
                  <w:color w:val="0000FF"/>
                  <w:u w:val="single"/>
                </w:rPr>
                <w:t>Kapittel 2.1 Ledelsens ansvar</w:t>
              </w:r>
            </w:hyperlink>
          </w:p>
        </w:tc>
      </w:tr>
      <w:tr>
        <w:tblPrEx>
          <w:tblW w:w="5000" w:type="pct"/>
          <w:tblCellMar>
            <w:left w:w="108" w:type="dxa"/>
            <w:right w:w="108" w:type="dxa"/>
          </w:tblCellMar>
        </w:tblPrEx>
        <w:tc>
          <w:tcPr>
            <w:tcW w:w="1250" w:type="pct"/>
            <w:tcBorders>
              <w:top w:val="nil"/>
              <w:left w:val="nil"/>
              <w:bottom w:val="nil"/>
              <w:right w:val="nil"/>
            </w:tcBorders>
          </w:tcPr>
          <w:p>
            <w:pPr>
              <w:numPr>
                <w:ilvl w:val="0"/>
                <w:numId w:val="0"/>
              </w:numPr>
              <w:rPr>
                <w:b w:val="0"/>
                <w:color w:val="0000FF"/>
                <w:u w:val="single"/>
              </w:rPr>
            </w:pPr>
            <w:hyperlink r:id="rId7" w:history="1">
              <w:r>
                <w:rPr>
                  <w:b w:val="0"/>
                  <w:color w:val="0000FF"/>
                  <w:u w:val="single"/>
                </w:rPr>
                <w:t>1.3.1</w:t>
              </w:r>
            </w:hyperlink>
          </w:p>
        </w:tc>
        <w:tc>
          <w:tcPr>
            <w:tcW w:w="3750" w:type="pct"/>
            <w:tcBorders>
              <w:top w:val="nil"/>
              <w:left w:val="nil"/>
              <w:bottom w:val="nil"/>
              <w:right w:val="nil"/>
            </w:tcBorders>
          </w:tcPr>
          <w:p>
            <w:pPr>
              <w:numPr>
                <w:ilvl w:val="0"/>
                <w:numId w:val="0"/>
              </w:numPr>
              <w:rPr>
                <w:b w:val="0"/>
                <w:color w:val="0000FF"/>
                <w:u w:val="single"/>
              </w:rPr>
            </w:pPr>
            <w:hyperlink r:id="rId7" w:history="1">
              <w:r>
                <w:rPr>
                  <w:b w:val="0"/>
                  <w:color w:val="0000FF"/>
                  <w:u w:val="single"/>
                </w:rPr>
                <w:t>Meldesystemer for avvik, hendelser, forbedringsforslag, klager og varsling av kritikkverdige forhold.</w:t>
              </w:r>
            </w:hyperlink>
          </w:p>
        </w:tc>
      </w:tr>
      <w:tr>
        <w:tblPrEx>
          <w:tblW w:w="5000" w:type="pct"/>
          <w:tblCellMar>
            <w:left w:w="108" w:type="dxa"/>
            <w:right w:w="108" w:type="dxa"/>
          </w:tblCellMar>
        </w:tblPrEx>
        <w:tc>
          <w:tcPr>
            <w:tcW w:w="1250" w:type="pct"/>
            <w:tcBorders>
              <w:top w:val="nil"/>
              <w:left w:val="nil"/>
              <w:bottom w:val="nil"/>
              <w:right w:val="nil"/>
            </w:tcBorders>
          </w:tcPr>
          <w:p>
            <w:pPr>
              <w:numPr>
                <w:ilvl w:val="0"/>
                <w:numId w:val="0"/>
              </w:numPr>
              <w:rPr>
                <w:b w:val="0"/>
                <w:color w:val="0000FF"/>
                <w:u w:val="single"/>
              </w:rPr>
            </w:pPr>
            <w:hyperlink r:id="rId8" w:history="1">
              <w:r>
                <w:rPr>
                  <w:b w:val="0"/>
                  <w:color w:val="0000FF"/>
                  <w:u w:val="single"/>
                </w:rPr>
                <w:t>1.3.2</w:t>
              </w:r>
            </w:hyperlink>
          </w:p>
        </w:tc>
        <w:tc>
          <w:tcPr>
            <w:tcW w:w="3750" w:type="pct"/>
            <w:tcBorders>
              <w:top w:val="nil"/>
              <w:left w:val="nil"/>
              <w:bottom w:val="nil"/>
              <w:right w:val="nil"/>
            </w:tcBorders>
          </w:tcPr>
          <w:p>
            <w:pPr>
              <w:numPr>
                <w:ilvl w:val="0"/>
                <w:numId w:val="0"/>
              </w:numPr>
              <w:rPr>
                <w:b w:val="0"/>
                <w:color w:val="0000FF"/>
                <w:u w:val="single"/>
              </w:rPr>
            </w:pPr>
            <w:hyperlink r:id="rId8" w:history="1">
              <w:r>
                <w:rPr>
                  <w:b w:val="0"/>
                  <w:color w:val="0000FF"/>
                  <w:u w:val="single"/>
                </w:rPr>
                <w:t>Melde forbedringsforslag, avvik, observasjoner og andre uønskede hendelser.</w:t>
              </w:r>
            </w:hyperlink>
          </w:p>
        </w:tc>
      </w:tr>
    </w:tbl>
    <w:p w:rsidR="001E565C" w:rsidRPr="005F61A2" w14:paraId="0CE4360C" w14:textId="77777777">
      <w:pPr>
        <w:rPr>
          <w:rFonts w:ascii="Verdana" w:hAnsi="Verdana"/>
          <w:sz w:val="22"/>
          <w:szCs w:val="22"/>
        </w:rPr>
      </w:pPr>
      <w:bookmarkEnd w:id="1"/>
    </w:p>
    <w:p w:rsidR="001C0FFA" w:rsidRPr="005F61A2" w:rsidP="00031C32" w14:paraId="47AADC35" w14:textId="4B72C45E">
      <w:pPr>
        <w:spacing w:after="120"/>
        <w:rPr>
          <w:rFonts w:ascii="Verdana" w:hAnsi="Verdana"/>
          <w:b/>
          <w:bCs/>
          <w:sz w:val="22"/>
          <w:szCs w:val="22"/>
        </w:rPr>
      </w:pPr>
      <w:r w:rsidRPr="005F61A2">
        <w:rPr>
          <w:rFonts w:ascii="Verdana" w:hAnsi="Verdana"/>
          <w:b/>
          <w:bCs/>
          <w:sz w:val="22"/>
          <w:szCs w:val="22"/>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pPr>
              <w:numPr>
                <w:ilvl w:val="0"/>
                <w:numId w:val="0"/>
              </w:numPr>
              <w:rPr>
                <w:b w:val="0"/>
                <w:color w:val="0000FF"/>
                <w:u w:val="single"/>
              </w:rPr>
            </w:pPr>
            <w:bookmarkStart w:id="2" w:name="EK_EksRef"/>
            <w:hyperlink w:history="1">
              <w:r>
                <w:rPr>
                  <w:b w:val="0"/>
                  <w:color w:val="0000FF"/>
                  <w:u w:val="single"/>
                </w:rPr>
                <w:t>2.6.5 Non conforming teaching</w:t>
              </w:r>
            </w:hyperlink>
          </w:p>
        </w:tc>
      </w:tr>
      <w:tr>
        <w:tblPrEx>
          <w:tblW w:w="5000" w:type="pct"/>
          <w:tblCellMar>
            <w:left w:w="108" w:type="dxa"/>
            <w:right w:w="108" w:type="dxa"/>
          </w:tblCellMar>
        </w:tblPrEx>
        <w:tc>
          <w:tcPr>
            <w:tcW w:w="3750" w:type="pct"/>
            <w:tcBorders>
              <w:top w:val="nil"/>
              <w:left w:val="nil"/>
              <w:bottom w:val="nil"/>
              <w:right w:val="nil"/>
            </w:tcBorders>
          </w:tcPr>
          <w:p>
            <w:pPr>
              <w:numPr>
                <w:ilvl w:val="0"/>
                <w:numId w:val="0"/>
              </w:numPr>
              <w:rPr>
                <w:b w:val="0"/>
                <w:color w:val="0000FF"/>
                <w:u w:val="single"/>
              </w:rPr>
            </w:pPr>
            <w:hyperlink r:id="rId9" w:history="1">
              <w:r>
                <w:rPr>
                  <w:b w:val="0"/>
                  <w:color w:val="0000FF"/>
                  <w:u w:val="single"/>
                </w:rPr>
                <w:t>.18.1.3 FOR-2021-06-30-2379 Forskrift om høyere yrkesfaglig utdanning ved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pPr>
              <w:numPr>
                <w:ilvl w:val="0"/>
                <w:numId w:val="0"/>
              </w:numPr>
              <w:rPr>
                <w:b w:val="0"/>
                <w:color w:val="0000FF"/>
                <w:u w:val="single"/>
              </w:rPr>
            </w:pPr>
            <w:hyperlink r:id="rId10" w:history="1">
              <w:r>
                <w:rPr>
                  <w:b w:val="0"/>
                  <w:color w:val="0000FF"/>
                  <w:u w:val="single"/>
                </w:rPr>
                <w:t>.18.1.2 FOR-2019-07-11-1005 Forskrift om høyere yrkesfaglig utdanning (fagskoleforskriften)</w:t>
              </w:r>
            </w:hyperlink>
          </w:p>
        </w:tc>
      </w:tr>
      <w:tr>
        <w:tblPrEx>
          <w:tblW w:w="5000" w:type="pct"/>
          <w:tblCellMar>
            <w:left w:w="108" w:type="dxa"/>
            <w:right w:w="108" w:type="dxa"/>
          </w:tblCellMar>
        </w:tblPrEx>
        <w:tc>
          <w:tcPr>
            <w:tcW w:w="3750" w:type="pct"/>
            <w:tcBorders>
              <w:top w:val="nil"/>
              <w:left w:val="nil"/>
              <w:bottom w:val="nil"/>
              <w:right w:val="nil"/>
            </w:tcBorders>
          </w:tcPr>
          <w:p>
            <w:pPr>
              <w:numPr>
                <w:ilvl w:val="0"/>
                <w:numId w:val="0"/>
              </w:numPr>
              <w:rPr>
                <w:b w:val="0"/>
                <w:color w:val="0000FF"/>
                <w:u w:val="single"/>
              </w:rPr>
            </w:pPr>
            <w:hyperlink r:id="rId11" w:history="1">
              <w:r>
                <w:rPr>
                  <w:b w:val="0"/>
                  <w:color w:val="0000FF"/>
                  <w:u w:val="single"/>
                </w:rPr>
                <w:t>.18.1.1 LOV-2018-06-08-28 Lov om høyere yrkesfaglig utdanning (fagskoleloven)</w:t>
              </w:r>
            </w:hyperlink>
          </w:p>
        </w:tc>
      </w:tr>
    </w:tbl>
    <w:p w:rsidR="001C0FFA" w:rsidRPr="005F61A2" w14:paraId="47AADC3A" w14:textId="77777777">
      <w:pPr>
        <w:rPr>
          <w:rFonts w:ascii="Verdana" w:hAnsi="Verdana"/>
          <w:sz w:val="22"/>
          <w:szCs w:val="22"/>
        </w:rPr>
      </w:pPr>
      <w:bookmarkEnd w:id="2"/>
    </w:p>
    <w:p w:rsidR="001C0FFA" w:rsidRPr="005F61A2" w14:paraId="47AADC3B" w14:textId="77777777">
      <w:pPr>
        <w:rPr>
          <w:rFonts w:ascii="Verdana" w:hAnsi="Verdana"/>
          <w:sz w:val="22"/>
          <w:szCs w:val="22"/>
        </w:rPr>
      </w:pPr>
    </w:p>
    <w:sectPr>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6BB" w14:paraId="47AADC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6BB" w14:paraId="47AADC4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47AADC47" w14:textId="660885A0">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18.06.2024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2450F" w14:paraId="027B8169" w14:textId="77777777">
      <w:r>
        <w:separator/>
      </w:r>
    </w:p>
  </w:footnote>
  <w:footnote w:type="continuationSeparator" w:id="1">
    <w:p w:rsidR="00C2450F" w14:paraId="0FBA83D3" w14:textId="77777777">
      <w:r>
        <w:continuationSeparator/>
      </w:r>
    </w:p>
  </w:footnote>
  <w:footnote w:type="continuationNotice" w:id="2">
    <w:p w:rsidR="00BE2D5C" w14:paraId="51E2A455" w14:textId="77777777"/>
  </w:footnote>
  <w:footnote w:id="3">
    <w:p w:rsidR="009904A8" w:rsidRPr="009904A8" w:rsidP="00676678" w14:paraId="03E36F1A" w14:textId="4DBCF0B9">
      <w:pPr>
        <w:pStyle w:val="FootnoteText"/>
        <w:ind w:left="142" w:hanging="142"/>
        <w:rPr>
          <w:sz w:val="18"/>
          <w:szCs w:val="18"/>
        </w:rPr>
      </w:pPr>
      <w:r w:rsidRPr="009904A8">
        <w:rPr>
          <w:rStyle w:val="FootnoteReference"/>
          <w:sz w:val="18"/>
          <w:szCs w:val="18"/>
        </w:rPr>
        <w:footnoteRef/>
      </w:r>
      <w:r w:rsidRPr="009904A8">
        <w:rPr>
          <w:sz w:val="18"/>
          <w:szCs w:val="18"/>
        </w:rPr>
        <w:t xml:space="preserve"> </w:t>
      </w:r>
      <w:r>
        <w:rPr>
          <w:sz w:val="18"/>
          <w:szCs w:val="18"/>
        </w:rPr>
        <w:t>Opplæringsstandarden som THYFs kvalitetssystem bygger på</w:t>
      </w:r>
      <w:r w:rsidR="00676678">
        <w:rPr>
          <w:sz w:val="18"/>
          <w:szCs w:val="18"/>
        </w:rPr>
        <w:t>,</w:t>
      </w:r>
      <w:r>
        <w:rPr>
          <w:sz w:val="18"/>
          <w:szCs w:val="18"/>
        </w:rPr>
        <w:t xml:space="preserve"> omtaler det at en student ikke får den undervisningen vedkommende har krav på som «ikke-konform» undervisning</w:t>
      </w:r>
      <w:r w:rsidR="00676678">
        <w:rPr>
          <w:sz w:val="18"/>
          <w:szCs w:val="18"/>
        </w:rPr>
        <w:t>, jfr. DNV-ST-0029:2023, kap. 2.6.1. Forholdet utgjør</w:t>
      </w:r>
      <w:r w:rsidRPr="00676678" w:rsidR="00676678">
        <w:rPr>
          <w:sz w:val="18"/>
          <w:szCs w:val="18"/>
        </w:rPr>
        <w:t xml:space="preserve"> dermed en risiko for at studentens læringsutbytte ikke</w:t>
      </w:r>
      <w:r w:rsidR="00676678">
        <w:rPr>
          <w:sz w:val="18"/>
          <w:szCs w:val="18"/>
        </w:rPr>
        <w:t xml:space="preserve"> nås.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6BB" w14:paraId="47AADC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47AADC3F"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47AADC3D" w14:textId="77777777">
          <w:pPr>
            <w:spacing w:before="80" w:after="80"/>
            <w:rPr>
              <w:b/>
              <w:lang w:val="de-DE"/>
            </w:rPr>
          </w:pPr>
          <w:r>
            <w:rPr>
              <w:b/>
              <w:color w:val="000080"/>
            </w:rPr>
            <w:fldChar w:fldCharType="begin" w:fldLock="1"/>
          </w:r>
          <w:r>
            <w:rPr>
              <w:b/>
              <w:color w:val="000080"/>
              <w:lang w:val="de-DE"/>
            </w:rPr>
            <w:instrText xml:space="preserve">DOCPROPERTY </w:instrText>
          </w:r>
          <w:r>
            <w:rPr>
              <w:b/>
              <w:color w:val="000080"/>
              <w:lang w:val="de-DE"/>
            </w:rPr>
            <w:instrText>EK_doktittel</w:instrText>
          </w:r>
          <w:r>
            <w:rPr>
              <w:b/>
              <w:color w:val="000080"/>
            </w:rPr>
            <w:fldChar w:fldCharType="separate"/>
          </w:r>
          <w:r>
            <w:rPr>
              <w:b/>
              <w:color w:val="000080"/>
              <w:lang w:val="de-DE"/>
            </w:rPr>
            <w:t>Melde inn klage ved THYF</w:t>
          </w:r>
          <w:r>
            <w:rPr>
              <w:b/>
              <w:color w:val="000080"/>
            </w:rPr>
            <w:fldChar w:fldCharType="end"/>
          </w:r>
        </w:p>
      </w:tc>
      <w:tc>
        <w:tcPr>
          <w:tcW w:w="1968" w:type="dxa"/>
          <w:gridSpan w:val="2"/>
          <w:tcBorders>
            <w:bottom w:val="nil"/>
          </w:tcBorders>
        </w:tcPr>
        <w:p w:rsidR="001C0FFA" w14:paraId="47AADC3E"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1.3.5</w:t>
          </w:r>
          <w:r>
            <w:rPr>
              <w:sz w:val="20"/>
            </w:rPr>
            <w:fldChar w:fldCharType="end"/>
          </w:r>
        </w:p>
      </w:tc>
    </w:tr>
    <w:tr w14:paraId="47AADC42"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47AADC40" w14:textId="77777777">
          <w:pPr>
            <w:spacing w:before="80"/>
            <w:rPr>
              <w:sz w:val="20"/>
            </w:rPr>
          </w:pPr>
        </w:p>
      </w:tc>
      <w:tc>
        <w:tcPr>
          <w:tcW w:w="1962" w:type="dxa"/>
          <w:tcBorders>
            <w:left w:val="nil"/>
            <w:bottom w:val="nil"/>
            <w:right w:val="nil"/>
          </w:tcBorders>
        </w:tcPr>
        <w:p w:rsidR="001C0FFA" w14:paraId="47AADC41"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sz w:val="20"/>
              <w:lang w:val="nb-NO" w:eastAsia="nb-NO" w:bidi="ar-SA"/>
            </w:rPr>
            <w:t>3</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1C0FFA" w14:paraId="47AADC4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6BB" w14:paraId="47AADC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705785"/>
    <w:multiLevelType w:val="multilevel"/>
    <w:tmpl w:val="9B1CFF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F531988"/>
    <w:multiLevelType w:val="hybridMultilevel"/>
    <w:tmpl w:val="E772B67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92948F5"/>
    <w:multiLevelType w:val="hybridMultilevel"/>
    <w:tmpl w:val="8E083372"/>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48742664">
    <w:abstractNumId w:val="0"/>
  </w:num>
  <w:num w:numId="2" w16cid:durableId="591551443">
    <w:abstractNumId w:val="2"/>
  </w:num>
  <w:num w:numId="3" w16cid:durableId="1107382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31C32"/>
    <w:rsid w:val="000F3BF2"/>
    <w:rsid w:val="00172B35"/>
    <w:rsid w:val="0019513F"/>
    <w:rsid w:val="001A500E"/>
    <w:rsid w:val="001C0FFA"/>
    <w:rsid w:val="001E565C"/>
    <w:rsid w:val="001F2D46"/>
    <w:rsid w:val="002349D1"/>
    <w:rsid w:val="002623AD"/>
    <w:rsid w:val="00280477"/>
    <w:rsid w:val="002E135A"/>
    <w:rsid w:val="002E3868"/>
    <w:rsid w:val="00383FB3"/>
    <w:rsid w:val="00385D82"/>
    <w:rsid w:val="003D4093"/>
    <w:rsid w:val="00415440"/>
    <w:rsid w:val="004215D2"/>
    <w:rsid w:val="004A0C89"/>
    <w:rsid w:val="004D6036"/>
    <w:rsid w:val="004F400D"/>
    <w:rsid w:val="005037FB"/>
    <w:rsid w:val="00504C31"/>
    <w:rsid w:val="00540C36"/>
    <w:rsid w:val="0054360B"/>
    <w:rsid w:val="00563B04"/>
    <w:rsid w:val="005924A1"/>
    <w:rsid w:val="00593ADB"/>
    <w:rsid w:val="005F61A2"/>
    <w:rsid w:val="005F7187"/>
    <w:rsid w:val="00676678"/>
    <w:rsid w:val="006E53A9"/>
    <w:rsid w:val="006F5206"/>
    <w:rsid w:val="0072029B"/>
    <w:rsid w:val="00745F95"/>
    <w:rsid w:val="007A3855"/>
    <w:rsid w:val="007A3A5F"/>
    <w:rsid w:val="007E5461"/>
    <w:rsid w:val="00870F8D"/>
    <w:rsid w:val="008E16BB"/>
    <w:rsid w:val="009904A8"/>
    <w:rsid w:val="009A4AA7"/>
    <w:rsid w:val="00A60B27"/>
    <w:rsid w:val="00AE0EEE"/>
    <w:rsid w:val="00B34876"/>
    <w:rsid w:val="00B84574"/>
    <w:rsid w:val="00BC49AC"/>
    <w:rsid w:val="00BE2D5C"/>
    <w:rsid w:val="00BF75FB"/>
    <w:rsid w:val="00C00E01"/>
    <w:rsid w:val="00C173A9"/>
    <w:rsid w:val="00C205FF"/>
    <w:rsid w:val="00C2450F"/>
    <w:rsid w:val="00C4383A"/>
    <w:rsid w:val="00C95363"/>
    <w:rsid w:val="00D0200A"/>
    <w:rsid w:val="00D717B1"/>
    <w:rsid w:val="00DA1BC4"/>
    <w:rsid w:val="00DD4693"/>
    <w:rsid w:val="00DE1413"/>
    <w:rsid w:val="00E1087F"/>
    <w:rsid w:val="00E31068"/>
    <w:rsid w:val="00E34F49"/>
    <w:rsid w:val="00EE5EAC"/>
    <w:rsid w:val="00F0003A"/>
    <w:rsid w:val="00F533F6"/>
    <w:rsid w:val="00FA18FD"/>
    <w:rsid w:val="00FC0062"/>
  </w:rsids>
  <w:docVars>
    <w:docVar w:name="Avdeling" w:val="lab_avdeling"/>
    <w:docVar w:name="Avsnitt" w:val="lab_avsnitt"/>
    <w:docVar w:name="Bedriftsnavn" w:val="DEMO - 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Hans Tore Mikkelsen"/>
    <w:docVar w:name="ek_bedriftsnavn" w:val="TRØNDELAG HØYERE YRKESFAGSKOLE avd. TRONDHEIM"/>
    <w:docVar w:name="ek_dbfields" w:val="EK_Avdeling¤2#4¤2# ¤3#EK_Avsnitt¤2#4¤2# ¤3#EK_Bedriftsnavn¤2#1¤2#TRØNDELAG HØYERE YRKESFAGSKOLE avd. TRONDHEIM¤3#EK_GjelderFra¤2#0¤2#14.12.2021¤3#EK_Opprettet¤2#0¤2#20.01.2020¤3#EK_Utgitt¤2#0¤2#20.01.2020¤3#EK_IBrukDato¤2#0¤2#14.12.2021¤3#EK_DokumentID¤2#0¤2#D00140¤3#EK_DokTittel¤2#0¤2#KLAGE PÅ OPPLÆRINGEN¤3#EK_DokType¤2#0¤2#Prosedyre¤3#EK_EksRef¤2#2¤2# 2 2.6.5 Non conforming teaching 00085  ¤1# Forskrift om høyere yrkesfaglig utdanning ved Trøndelag høyere yrkesfagskole 00066 https://lovdata.no/dokument/SF/forskrift/2021-06-30-2379 ¤1#¤3#EK_Erstatter¤2#0¤2#1.02¤3#EK_ErstatterD¤2#0¤2#13.02.2021¤3#EK_Signatur¤2#0¤2#STOI¤3#EK_Verifisert¤2#0¤2# ¤3#EK_Hørt¤2#0¤2# ¤3#EK_AuditReview¤2#2¤2# ¤3#EK_AuditApprove¤2#2¤2# ¤3#EK_Gradering¤2#0¤2#Åpen¤3#EK_Gradnr¤2#4¤2#0¤3#EK_Kapittel¤2#4¤2# ¤3#EK_Referanse¤2#2¤2# 0 ¤3#EK_RefNr¤2#0¤2#PRO.39¤3#EK_Revisjon¤2#0¤2#2.00¤3#EK_Ansvarlig¤2#0¤2#Hans Tore Mikkelsen¤3#EK_SkrevetAv¤2#0¤2#SØJS¤3#EK_UText1¤2#0¤2# ¤3#EK_UText2¤2#0¤2# ¤3#EK_UText3¤2#0¤2# ¤3#EK_UText4¤2#0¤2# ¤3#EK_Status¤2#0¤2#I bruk¤3#EK_Stikkord¤2#0¤2#¤3#EK_SuperStikkord¤2#0¤2#¤3#EK_Rapport¤2#3¤2#¤3#EK_EKPrintMerke¤2#0¤2#Uoffisiell utskrift er kun gyldig på utskriftsdato¤3#EK_Watermark¤2#0¤2#¤3#EK_Utgave¤2#0¤2#2.00¤3#EK_Merknad¤2#7¤2#Erstattet referanse med ekstern referanse.¤3#EK_VerLogg¤2#2¤2#Ver. 2.00 - 14.12.2021|Erstattet referanse med ekstern referanse.¤1#Ver. 1.02 - 13.02.2021|Endret skolenavn og ek ansvarlig&#13;_x000a_Forlenget gyldighet til 13.02.2022¤1#Ver. 1.01 - 14.09.2020|¤1#Ver. 1.00 - 20.01.2020|Prosedyren er ny med referanse i DNVGL-ST-0029, juni 2017, pkt. 2.6.5 &quot;Non conforming teaching&quot;.¤3#EK_RF1¤2#4¤2# ¤3#EK_RF2¤2#4¤2# ¤3#EK_RF3¤2#4¤2# ¤3#EK_RF4¤2#4¤2# ¤3#EK_RF5¤2#4¤2# ¤3#EK_RF6¤2#4¤2# ¤3#EK_RF7¤2#4¤2# ¤3#EK_RF8¤2#4¤2# ¤3#EK_RF9¤2#4¤2# ¤3#EK_Mappe1¤2#4¤2# ¤3#EK_Mappe2¤2#4¤2# ¤3#EK_Mappe3¤2#4¤2# ¤3#EK_Mappe4¤2#4¤2# ¤3#EK_Mappe5¤2#4¤2# ¤3#EK_Mappe6¤2#4¤2# ¤3#EK_Mappe7¤2#4¤2# ¤3#EK_Mappe8¤2#4¤2# ¤3#EK_Mappe9¤2#4¤2# ¤3#EK_DL¤2#0¤2#39¤3#EK_GjelderTil¤2#0¤2#14.12.2022¤3#EK_Vedlegg¤2#2¤2# 0 ¤3#EK_AvdelingOver¤2#4¤2# ¤3#EK_HRefNr¤2#0¤2# ¤3#EK_HbNavn¤2#0¤2# ¤3#EK_DokRefnr¤2#4¤2#000201¤3#EK_Dokendrdato¤2#4¤2#14.12.2021 12:20:56¤3#EK_HbType¤2#4¤2# ¤3#EK_Offisiell¤2#4¤2# ¤3#EK_VedleggRef¤2#4¤2#PRO.39¤3#EK_Strukt00¤2#5¤2#¤5#¤5#KVALITETSYSTEM DEL B¤5#0¤5#0¤4#¤5#PRO¤5#KVALITETSPROSEDYRER¤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KVALITETSYSTEM DEL B¤5#0¤5#0¤4#¤5#PRO¤5#KVALITETSPROSEDYRER¤5#0¤5#0¤4#\¤3#"/>
    <w:docVar w:name="ek_dl" w:val="39"/>
    <w:docVar w:name="ek_doktittel" w:val="KLAGE PÅ OPPLÆRINGEN"/>
    <w:docVar w:name="ek_doktype" w:val="Prosedyre"/>
    <w:docVar w:name="ek_dokumentid" w:val="D00140"/>
    <w:docVar w:name="ek_erstatter" w:val="1.02"/>
    <w:docVar w:name="ek_erstatterd" w:val="13.02.2021"/>
    <w:docVar w:name="ek_format" w:val="-2"/>
    <w:docVar w:name="ek_gjelderfra" w:val="14.12.2021"/>
    <w:docVar w:name="ek_gjeldertil" w:val="14.12.2022"/>
    <w:docVar w:name="ek_gradering" w:val="Åpen"/>
    <w:docVar w:name="ek_hbnavn" w:val=" "/>
    <w:docVar w:name="ek_hrefnr" w:val=" "/>
    <w:docVar w:name="ek_hørt" w:val=" "/>
    <w:docVar w:name="ek_ibrukdato" w:val="14.12.2021"/>
    <w:docVar w:name="ek_merknad" w:val="Erstattet referanse med ekstern referanse."/>
    <w:docVar w:name="ek_opprettet" w:val="20.01.2020"/>
    <w:docVar w:name="ek_rapport" w:val="[]"/>
    <w:docVar w:name="ek_refnr" w:val="PRO.39"/>
    <w:docVar w:name="ek_revisjon" w:val="2.00"/>
    <w:docVar w:name="ek_signatur" w:val="STOI"/>
    <w:docVar w:name="ek_skrevetav" w:val="SØJS"/>
    <w:docVar w:name="ek_status" w:val="I bruk"/>
    <w:docVar w:name="ek_stikkord" w:val="[]"/>
    <w:docVar w:name="EK_TYPE" w:val="DOK"/>
    <w:docVar w:name="ek_utext1" w:val=" "/>
    <w:docVar w:name="ek_utext2" w:val=" "/>
    <w:docVar w:name="ek_utext3" w:val=" "/>
    <w:docVar w:name="ek_utext4" w:val=" "/>
    <w:docVar w:name="ek_utgave" w:val="2.00"/>
    <w:docVar w:name="ek_utgitt" w:val="20.01.2020"/>
    <w:docVar w:name="ek_verifisert" w:val=" "/>
    <w:docVar w:name="Erstatter" w:val="lab_erstatter"/>
    <w:docVar w:name="idek_eksref" w:val=";00085;00066;"/>
    <w:docVar w:name="idxr" w:val=";00085;00066;"/>
    <w:docVar w:name="KHB" w:val="UB"/>
    <w:docVar w:name="skitten" w:val="0"/>
    <w:docVar w:name="tidek_eksref" w:val=";00085;00066;"/>
    <w:docVar w:name="Tittel" w:val="Dette er en Test tittel."/>
    <w:docVar w:name="xr00085" w:val="2.6.5"/>
    <w:docVar w:name="xrf00066" w:val="https://lovdata.no/dokument/SF/forskrift/2021-06-30-2379"/>
    <w:docVar w:name="xrl00066" w:val=" Forskrift om høyere yrkesfaglig utdanning ved Trøndelag høyere yrkesfagskole"/>
    <w:docVar w:name="xrl00085" w:val="2.6.5 Non conforming teaching"/>
    <w:docVar w:name="xrt00066" w:val="Forskrift om høyere yrkesfaglig utdanning ved Trøndelag høyere yrkesfagskole"/>
    <w:docVar w:name="xrt00085" w:val="Non conforming teaching"/>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47AADC00"/>
  <w15:docId w15:val="{8B2279AB-212E-49B3-A974-FF90C374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D717B1"/>
    <w:rPr>
      <w:color w:val="0563C1"/>
      <w:u w:val="single"/>
    </w:rPr>
  </w:style>
  <w:style w:type="character" w:customStyle="1" w:styleId="Ulstomtale1">
    <w:name w:val="Uløst omtale1"/>
    <w:uiPriority w:val="99"/>
    <w:semiHidden/>
    <w:unhideWhenUsed/>
    <w:rsid w:val="00D717B1"/>
    <w:rPr>
      <w:color w:val="605E5C"/>
      <w:shd w:val="clear" w:color="auto" w:fill="E1DFDD"/>
    </w:rPr>
  </w:style>
  <w:style w:type="paragraph" w:styleId="FootnoteText">
    <w:name w:val="footnote text"/>
    <w:basedOn w:val="Normal"/>
    <w:link w:val="FotnotetekstTegn"/>
    <w:rsid w:val="009904A8"/>
    <w:rPr>
      <w:sz w:val="20"/>
    </w:rPr>
  </w:style>
  <w:style w:type="character" w:customStyle="1" w:styleId="FotnotetekstTegn">
    <w:name w:val="Fotnotetekst Tegn"/>
    <w:basedOn w:val="DefaultParagraphFont"/>
    <w:link w:val="FootnoteText"/>
    <w:rsid w:val="009904A8"/>
  </w:style>
  <w:style w:type="character" w:styleId="FootnoteReference">
    <w:name w:val="footnote reference"/>
    <w:basedOn w:val="DefaultParagraphFont"/>
    <w:rsid w:val="00990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lovdata.no/forskrift/2019-07-11-1005" TargetMode="External" /><Relationship Id="rId11" Type="http://schemas.openxmlformats.org/officeDocument/2006/relationships/hyperlink" Target="https://lovdata.no/dokument/NL/lov/2018-06-08-28"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thyf-ekstern.dkhosting.no/docs/pub/DOK00165.pdf" TargetMode="External" /><Relationship Id="rId7" Type="http://schemas.openxmlformats.org/officeDocument/2006/relationships/hyperlink" Target="https://thyf-ekstern.dkhosting.no/docs/pub/dok00293.htm" TargetMode="External" /><Relationship Id="rId8" Type="http://schemas.openxmlformats.org/officeDocument/2006/relationships/hyperlink" Target="https://thyf-ekstern.dkhosting.no/docs/pub/DOK00191.pdf" TargetMode="External" /><Relationship Id="rId9" Type="http://schemas.openxmlformats.org/officeDocument/2006/relationships/hyperlink" Target="https://lovdata.no/dokument/SF/forskrift/2021-06-30-2379?q=forskrift%20om%20h%C3%B8yere%20yrkesfaglig%20utdannin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1ADE8-B352-425D-ADFC-E6F5EB6E0A88}">
  <we:reference id="wa200003024" version="3.0.0.0" store="nb-NO" storeType="omex"/>
  <we:alternateReferences>
    <we:reference id="WA200003024" version="3.0.0.0" store=""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868D-66C9-48D3-B4A1-6CF7D886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233</TotalTime>
  <Pages>3</Pages>
  <Words>913</Words>
  <Characters>4840</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KLAGE PÅ OPPLÆRINGEN</vt:lpstr>
      <vt:lpstr>	</vt:lpstr>
    </vt:vector>
  </TitlesOfParts>
  <Company>Datakvalitet</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 inn klage ved THYF</dc:title>
  <dc:subject>000201|PRO.39|</dc:subject>
  <dc:creator>Handbok</dc:creator>
  <dc:description>EK_Avdeling4 EK_Avsnitt4 EK_Bedriftsnavn1TRØNDELAG HØYERE YRKESFAGSKOLE avd. TRONDHEIMEK_GjelderFra014.12.2021EK_Opprettet020.01.2020EK_Utgitt020.01.2020EK_IBrukDato014.12.2021EK_DokumentID0D00140EK_DokTittel0KLAGE PÅ OPPLÆRINGENEK_DokType0ProsedyreEK_EksRef2 2	2.6.5	Non conforming teaching	00085			Forskrift om høyere yrkesfaglig utdanning ved Trøndelag høyere yrkesfagskole	00066	https://lovdata.no/dokument/SF/forskrift/2021-06-30-2379	EK_Erstatter01.02EK_ErstatterD013.02.2021EK_Signatur0STOIEK_Verifisert0 EK_Hørt0 EK_AuditReview2 EK_AuditApprove2 EK_Gradering0ÅpenEK_Gradnr40EK_Kapittel4 EK_Referanse2 0	EK_RefNr0PRO.39EK_Revisjon02.00EK_Ansvarlig0Hans Tore MikkelsenEK_SkrevetAv0SØJSEK_UText10 EK_UText20 EK_UText30 EK_UText40 EK_Status0I brukEK_Stikkord0EK_SuperStikkord0EK_Rapport3EK_EKPrintMerke0Uoffisiell utskrift er kun gyldig på utskriftsdatoEK_Watermark0EK_Utgave02.00EK_Merknad7Erstattet referanse med ekstern referanse.EK_VerLogg2Ver. 2.00 - 14.12.2021|Erstattet referanse med ekstern referanse.Ver. 1.02 - 13.02.2021|Endret skolenavn og ek ansvarlig
Forlenget gyldighet til 13.02.2022Ver. 1.01 - 14.09.2020|Ver. 1.00 - 20.01.2020|Prosedyren er ny med referanse i DNVGL-ST-0029, juni 2017, pkt. 2.6.5 "Non conforming teaching".EK_RF14 EK_RF24 EK_RF34 EK_RF44 EK_RF54 EK_RF64 EK_RF74 EK_RF84 EK_RF94 EK_Mappe14 EK_Mappe24 EK_Mappe34 EK_Mappe44 EK_Mappe54 EK_Mappe64 EK_Mappe74 EK_Mappe84 EK_Mappe94 EK_DL039EK_GjelderTil014.12.2022EK_Vedlegg2 0	EK_AvdelingOver4 EK_HRefNr0 EK_HbNavn0 EK_DokRefnr4000201EK_Dokendrdato414.12.2021 12:20:56EK_HbType4 EK_Offisiell4 EK_VedleggRef4PRO.39EK_Strukt005KVALITETSYSTEM DEL B00PROKVALITETSPROSEDYRER00\EK_Strukt015EK_Pub6;15;EKR_DokType0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dc:description>
  <cp:lastModifiedBy>Hans Tore Mikkelsen</cp:lastModifiedBy>
  <cp:revision>11</cp:revision>
  <dcterms:created xsi:type="dcterms:W3CDTF">2021-12-14T12:04:00Z</dcterms:created>
  <dcterms:modified xsi:type="dcterms:W3CDTF">2024-06-03T11:01:00Z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vt:lpwstr>
  </property>
  <property fmtid="{D5CDD505-2E9C-101B-9397-08002B2CF9AE}" pid="3" name="EK_DokTittel">
    <vt:lpwstr>Melde inn klage ved THYF</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03.06.2024</vt:lpwstr>
  </property>
  <property fmtid="{D5CDD505-2E9C-101B-9397-08002B2CF9AE}" pid="7" name="EK_RefNr">
    <vt:lpwstr>1.3.5</vt:lpwstr>
  </property>
  <property fmtid="{D5CDD505-2E9C-101B-9397-08002B2CF9AE}" pid="8" name="EK_Signatur">
    <vt:lpwstr>Svein Ove Dyrdal</vt:lpwstr>
  </property>
  <property fmtid="{D5CDD505-2E9C-101B-9397-08002B2CF9AE}" pid="9" name="EK_SkrevetAv">
    <vt:lpwstr>Hans Tore Mikkelsen</vt:lpwstr>
  </property>
  <property fmtid="{D5CDD505-2E9C-101B-9397-08002B2CF9AE}" pid="10" name="EK_Utgave">
    <vt:lpwstr>4.00</vt:lpwstr>
  </property>
  <property fmtid="{D5CDD505-2E9C-101B-9397-08002B2CF9AE}" pid="11" name="EK_Watermark">
    <vt:lpwstr/>
  </property>
  <property fmtid="{D5CDD505-2E9C-101B-9397-08002B2CF9AE}" pid="12" name="XD00165">
    <vt:lpwstr>1.2.3</vt:lpwstr>
  </property>
  <property fmtid="{D5CDD505-2E9C-101B-9397-08002B2CF9AE}" pid="13" name="XD00191">
    <vt:lpwstr>1.3.2</vt:lpwstr>
  </property>
  <property fmtid="{D5CDD505-2E9C-101B-9397-08002B2CF9AE}" pid="14" name="XD00293">
    <vt:lpwstr>1.3.1</vt:lpwstr>
  </property>
  <property fmtid="{D5CDD505-2E9C-101B-9397-08002B2CF9AE}" pid="15" name="XDF00165">
    <vt:lpwstr>Kapittel 2.1 Ledelsens ansvar</vt:lpwstr>
  </property>
  <property fmtid="{D5CDD505-2E9C-101B-9397-08002B2CF9AE}" pid="16" name="XDF00191">
    <vt:lpwstr>Melde forbedringsforslag, avvik, observasjoner og andre uønskede hendelser.</vt:lpwstr>
  </property>
  <property fmtid="{D5CDD505-2E9C-101B-9397-08002B2CF9AE}" pid="17" name="XDF00293">
    <vt:lpwstr>Meldesystemer for avvik, hendelser, forbedringsforslag, klager og varsling av kritikkverdige forhold.</vt:lpwstr>
  </property>
  <property fmtid="{D5CDD505-2E9C-101B-9397-08002B2CF9AE}" pid="18" name="XDL00165">
    <vt:lpwstr>1.2.3 Kapittel 2.1 Ledelsens ansvar</vt:lpwstr>
  </property>
  <property fmtid="{D5CDD505-2E9C-101B-9397-08002B2CF9AE}" pid="19" name="XDL00191">
    <vt:lpwstr>1.3.2 Melde forbedringsforslag, avvik, observasjoner og andre uønskede hendelser.</vt:lpwstr>
  </property>
  <property fmtid="{D5CDD505-2E9C-101B-9397-08002B2CF9AE}" pid="20" name="XDL00293">
    <vt:lpwstr>1.3.1 Meldesystemer for avvik, hendelser, forbedringsforslag, klager og varsling av kritikkverdige forhold.</vt:lpwstr>
  </property>
  <property fmtid="{D5CDD505-2E9C-101B-9397-08002B2CF9AE}" pid="21" name="XDT00165">
    <vt:lpwstr>Kapittel 2.1 Ledelsens ansvar</vt:lpwstr>
  </property>
  <property fmtid="{D5CDD505-2E9C-101B-9397-08002B2CF9AE}" pid="22" name="XDT00191">
    <vt:lpwstr>Melde forbedringsforslag, avvik, observasjoner og andre uønskede hendelser.</vt:lpwstr>
  </property>
  <property fmtid="{D5CDD505-2E9C-101B-9397-08002B2CF9AE}" pid="23" name="XDT00293">
    <vt:lpwstr>Meldesystemer for avvik, hendelser, forbedringsforslag, klager og varsling av kritikkverdige forhold.</vt:lpwstr>
  </property>
  <property fmtid="{D5CDD505-2E9C-101B-9397-08002B2CF9AE}" pid="24" name="XR00066">
    <vt:lpwstr/>
  </property>
  <property fmtid="{D5CDD505-2E9C-101B-9397-08002B2CF9AE}" pid="25" name="XR00085">
    <vt:lpwstr>2.6.5</vt:lpwstr>
  </property>
  <property fmtid="{D5CDD505-2E9C-101B-9397-08002B2CF9AE}" pid="26" name="XR00161">
    <vt:lpwstr>.18.1.1</vt:lpwstr>
  </property>
  <property fmtid="{D5CDD505-2E9C-101B-9397-08002B2CF9AE}" pid="27" name="XR00162">
    <vt:lpwstr>.18.1.2</vt:lpwstr>
  </property>
  <property fmtid="{D5CDD505-2E9C-101B-9397-08002B2CF9AE}" pid="28" name="XR00163">
    <vt:lpwstr>.18.1.3</vt:lpwstr>
  </property>
  <property fmtid="{D5CDD505-2E9C-101B-9397-08002B2CF9AE}" pid="29" name="XRF00066">
    <vt:lpwstr>Forskrift om høyere yrkesfaglig utdanning ved Trøndelag høyere yrkesfagskole</vt:lpwstr>
  </property>
  <property fmtid="{D5CDD505-2E9C-101B-9397-08002B2CF9AE}" pid="30" name="XRF00085">
    <vt:lpwstr>Non conforming teaching</vt:lpwstr>
  </property>
  <property fmtid="{D5CDD505-2E9C-101B-9397-08002B2CF9AE}" pid="31" name="XRF00161">
    <vt:lpwstr>LOV-2018-06-08-28 Lov om høyere yrkesfaglig utdanning (fagskoleloven)</vt:lpwstr>
  </property>
  <property fmtid="{D5CDD505-2E9C-101B-9397-08002B2CF9AE}" pid="32" name="XRF00162">
    <vt:lpwstr>FOR-2019-07-11-1005 Forskrift om høyere yrkesfaglig utdanning (fagskoleforskriften)</vt:lpwstr>
  </property>
  <property fmtid="{D5CDD505-2E9C-101B-9397-08002B2CF9AE}" pid="33" name="XRF00163">
    <vt:lpwstr>FOR-2021-06-30-2379 Forskrift om høyere yrkesfaglig utdanning ved Trøndelag høyere yrkesfagskole</vt:lpwstr>
  </property>
  <property fmtid="{D5CDD505-2E9C-101B-9397-08002B2CF9AE}" pid="34" name="XRL00066">
    <vt:lpwstr> Forskrift om høyere yrkesfaglig utdanning ved Trøndelag høyere yrkesfagskole</vt:lpwstr>
  </property>
  <property fmtid="{D5CDD505-2E9C-101B-9397-08002B2CF9AE}" pid="35" name="XRL00085">
    <vt:lpwstr>2.6.5 Non conforming teaching</vt:lpwstr>
  </property>
  <property fmtid="{D5CDD505-2E9C-101B-9397-08002B2CF9AE}" pid="36" name="XRL00161">
    <vt:lpwstr>.18.1.1 LOV-2018-06-08-28 Lov om høyere yrkesfaglig utdanning (fagskoleloven)</vt:lpwstr>
  </property>
  <property fmtid="{D5CDD505-2E9C-101B-9397-08002B2CF9AE}" pid="37" name="XRL00162">
    <vt:lpwstr>.18.1.2 FOR-2019-07-11-1005 Forskrift om høyere yrkesfaglig utdanning (fagskoleforskriften)</vt:lpwstr>
  </property>
  <property fmtid="{D5CDD505-2E9C-101B-9397-08002B2CF9AE}" pid="38" name="XRL00163">
    <vt:lpwstr>.18.1.3 FOR-2021-06-30-2379 Forskrift om høyere yrkesfaglig utdanning ved Trøndelag høyere yrkesfagskole</vt:lpwstr>
  </property>
  <property fmtid="{D5CDD505-2E9C-101B-9397-08002B2CF9AE}" pid="39" name="XRT00066">
    <vt:lpwstr>Forskrift om høyere yrkesfaglig utdanning ved Trøndelag høyere yrkesfagskole</vt:lpwstr>
  </property>
  <property fmtid="{D5CDD505-2E9C-101B-9397-08002B2CF9AE}" pid="40" name="XRT00085">
    <vt:lpwstr>Non conforming teaching</vt:lpwstr>
  </property>
  <property fmtid="{D5CDD505-2E9C-101B-9397-08002B2CF9AE}" pid="41" name="XRT00161">
    <vt:lpwstr>LOV-2018-06-08-28 Lov om høyere yrkesfaglig utdanning (fagskoleloven)</vt:lpwstr>
  </property>
  <property fmtid="{D5CDD505-2E9C-101B-9397-08002B2CF9AE}" pid="42" name="XRT00162">
    <vt:lpwstr>FOR-2019-07-11-1005 Forskrift om høyere yrkesfaglig utdanning (fagskoleforskriften)</vt:lpwstr>
  </property>
  <property fmtid="{D5CDD505-2E9C-101B-9397-08002B2CF9AE}" pid="43" name="XRT00163">
    <vt:lpwstr>FOR-2021-06-30-2379 Forskrift om høyere yrkesfaglig utdanning ved Trøndelag høyere yrkesfagskole</vt:lpwstr>
  </property>
</Properties>
</file>