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tbl>
      <w:tblPr>
        <w:tblStyle w:val="TableNormal"/>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pPr>
              <w:spacing w:before="120" w:after="120"/>
              <w:jc w:val="center"/>
              <w:rPr>
                <w:b/>
                <w:sz w:val="28"/>
              </w:rPr>
            </w:pPr>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1C0FFA">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1.2.22</w:t>
            </w:r>
            <w:r>
              <w:rPr>
                <w:sz w:val="16"/>
              </w:rPr>
              <w:fldChar w:fldCharType="end"/>
            </w:r>
          </w:p>
        </w:tc>
      </w:tr>
      <w:tr>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RISIKOER OG EKSTERNE FAKTORER</w:t>
            </w:r>
            <w:r>
              <w:rPr>
                <w:b/>
              </w:rPr>
              <w:fldChar w:fldCharType="end"/>
            </w:r>
          </w:p>
        </w:tc>
        <w:tc>
          <w:tcPr>
            <w:tcW w:w="2125" w:type="dxa"/>
            <w:tcBorders>
              <w:top w:val="single" w:sz="6" w:space="0" w:color="auto"/>
              <w:left w:val="nil"/>
              <w:bottom w:val="single" w:sz="6" w:space="0" w:color="auto"/>
            </w:tcBorders>
          </w:tcPr>
          <w:p w:rsidR="001C0FFA">
            <w:pPr>
              <w:spacing w:before="80" w:after="80"/>
            </w:pPr>
            <w:r>
              <w:fldChar w:fldCharType="begin" w:fldLock="1"/>
            </w:r>
            <w:r>
              <w:rPr>
                <w:color w:val="000080"/>
              </w:rPr>
              <w:instrText xml:space="preserve"> DOCPROPERTY EK_DokType </w:instrText>
            </w:r>
            <w:r>
              <w:fldChar w:fldCharType="separate"/>
            </w:r>
            <w:r>
              <w:rPr>
                <w:color w:val="000080"/>
              </w:rPr>
              <w:t>Revisjonsprogram for Havrommet THYF</w:t>
            </w:r>
            <w:r>
              <w:fldChar w:fldCharType="end"/>
            </w:r>
          </w:p>
        </w:tc>
      </w:tr>
      <w:tr>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pPr>
              <w:rPr>
                <w:color w:val="000080"/>
                <w:sz w:val="20"/>
              </w:rPr>
            </w:pPr>
            <w:r>
              <w:rPr>
                <w:sz w:val="16"/>
              </w:rPr>
              <w:t>Utgave:</w:t>
            </w:r>
          </w:p>
          <w:p w:rsidR="001C0FFA">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1.01</w:t>
            </w:r>
            <w:r>
              <w:rPr>
                <w:sz w:val="20"/>
              </w:rPr>
              <w:fldChar w:fldCharType="end"/>
            </w:r>
          </w:p>
        </w:tc>
        <w:tc>
          <w:tcPr>
            <w:tcW w:w="2268" w:type="dxa"/>
            <w:tcBorders>
              <w:top w:val="nil"/>
              <w:left w:val="single" w:sz="6" w:space="0" w:color="auto"/>
              <w:bottom w:val="single" w:sz="12" w:space="0" w:color="auto"/>
              <w:right w:val="nil"/>
            </w:tcBorders>
          </w:tcPr>
          <w:p w:rsidR="001C0FFA">
            <w:pPr>
              <w:rPr>
                <w:sz w:val="20"/>
              </w:rPr>
            </w:pPr>
            <w:r>
              <w:rPr>
                <w:sz w:val="16"/>
              </w:rPr>
              <w:t>Skrevet av:</w:t>
            </w:r>
          </w:p>
          <w:p w:rsidR="001C0FFA">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SØJS</w:t>
            </w:r>
            <w:r>
              <w:rPr>
                <w:sz w:val="20"/>
              </w:rPr>
              <w:fldChar w:fldCharType="end"/>
            </w:r>
          </w:p>
        </w:tc>
        <w:tc>
          <w:tcPr>
            <w:tcW w:w="1417" w:type="dxa"/>
            <w:tcBorders>
              <w:top w:val="nil"/>
              <w:left w:val="single" w:sz="6" w:space="0" w:color="auto"/>
              <w:bottom w:val="single" w:sz="12" w:space="0" w:color="auto"/>
              <w:right w:val="nil"/>
            </w:tcBorders>
          </w:tcPr>
          <w:p w:rsidR="001C0FFA">
            <w:pPr>
              <w:rPr>
                <w:sz w:val="16"/>
              </w:rPr>
            </w:pPr>
            <w:r>
              <w:rPr>
                <w:sz w:val="16"/>
              </w:rPr>
              <w:t>Gjelder fra:</w:t>
            </w:r>
          </w:p>
          <w:p w:rsidR="001C0FFA">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13.02.2021</w:t>
            </w:r>
            <w:r>
              <w:rPr>
                <w:sz w:val="20"/>
              </w:rPr>
              <w:fldChar w:fldCharType="end"/>
            </w:r>
          </w:p>
        </w:tc>
        <w:tc>
          <w:tcPr>
            <w:tcW w:w="2410" w:type="dxa"/>
            <w:tcBorders>
              <w:top w:val="nil"/>
              <w:left w:val="single" w:sz="6" w:space="0" w:color="auto"/>
              <w:bottom w:val="single" w:sz="12" w:space="0" w:color="auto"/>
              <w:right w:val="nil"/>
            </w:tcBorders>
          </w:tcPr>
          <w:p w:rsidR="001C0FFA">
            <w:pPr>
              <w:rPr>
                <w:color w:val="000080"/>
                <w:sz w:val="20"/>
              </w:rPr>
            </w:pPr>
            <w:r>
              <w:rPr>
                <w:sz w:val="16"/>
              </w:rPr>
              <w:t>Godkjent av:</w:t>
            </w:r>
          </w:p>
          <w:p w:rsidR="001C0FFA">
            <w:pPr>
              <w:jc w:val="center"/>
            </w:pPr>
            <w:r>
              <w:fldChar w:fldCharType="begin" w:fldLock="1"/>
            </w:r>
            <w:r>
              <w:rPr>
                <w:color w:val="000080"/>
                <w:sz w:val="20"/>
              </w:rPr>
              <w:instrText xml:space="preserve"> DOCPROPERTY EK_Signatur </w:instrText>
            </w:r>
            <w:r>
              <w:fldChar w:fldCharType="separate"/>
            </w:r>
            <w:r>
              <w:rPr>
                <w:color w:val="000080"/>
                <w:sz w:val="20"/>
              </w:rPr>
              <w:t>EIWI</w:t>
            </w:r>
            <w:r>
              <w:fldChar w:fldCharType="end"/>
            </w:r>
          </w:p>
        </w:tc>
        <w:tc>
          <w:tcPr>
            <w:tcW w:w="2126" w:type="dxa"/>
            <w:tcBorders>
              <w:top w:val="nil"/>
              <w:left w:val="single" w:sz="6" w:space="0" w:color="auto"/>
              <w:bottom w:val="single" w:sz="12" w:space="0" w:color="auto"/>
            </w:tcBorders>
          </w:tcPr>
          <w:p w:rsidR="001C0FFA">
            <w:pPr>
              <w:rPr>
                <w:sz w:val="20"/>
              </w:rPr>
            </w:pPr>
            <w:r>
              <w:rPr>
                <w:sz w:val="16"/>
              </w:rPr>
              <w:t>Sidenr:</w:t>
            </w:r>
          </w:p>
          <w:p w:rsidR="001C0FFA">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sidR="0056784F">
              <w:rPr>
                <w:sz w:val="20"/>
              </w:rPr>
              <w:t>6</w:t>
            </w:r>
          </w:p>
        </w:tc>
      </w:tr>
    </w:tbl>
    <w:p w:rsidR="001C0FFA"/>
    <w:p w:rsidR="0056784F" w:rsidRPr="0056784F" w:rsidP="0056784F">
      <w:pPr>
        <w:tabs>
          <w:tab w:val="center" w:pos="4536"/>
          <w:tab w:val="right" w:pos="9072"/>
        </w:tabs>
        <w:ind w:hanging="993"/>
        <w:rPr>
          <w:b/>
          <w:bCs/>
          <w:color w:val="365F91"/>
          <w:sz w:val="32"/>
          <w:szCs w:val="32"/>
          <w:lang w:eastAsia="en-US"/>
        </w:rPr>
      </w:pPr>
    </w:p>
    <w:p w:rsidR="0056784F" w:rsidRPr="0056784F" w:rsidP="0056784F">
      <w:pPr>
        <w:tabs>
          <w:tab w:val="center" w:pos="4536"/>
          <w:tab w:val="right" w:pos="9072"/>
        </w:tabs>
        <w:ind w:hanging="993"/>
        <w:jc w:val="both"/>
        <w:rPr>
          <w:rFonts w:ascii="Calibri" w:eastAsia="Calibri" w:hAnsi="Calibri"/>
          <w:sz w:val="22"/>
          <w:szCs w:val="22"/>
          <w:lang w:eastAsia="en-US"/>
        </w:rPr>
      </w:pPr>
      <w:r w:rsidRPr="0056784F">
        <w:rPr>
          <w:sz w:val="20"/>
        </w:rPr>
        <w:tab/>
      </w:r>
      <w:r w:rsidRPr="0056784F">
        <w:rPr>
          <w:b/>
          <w:bCs/>
          <w:color w:val="365F91"/>
          <w:sz w:val="32"/>
          <w:szCs w:val="32"/>
          <w:lang w:eastAsia="en-US"/>
        </w:rPr>
        <w:t>Risikoer og eksterne faktorer</w:t>
      </w:r>
      <w:r w:rsidRPr="0056784F">
        <w:rPr>
          <w:rFonts w:ascii="Calibri" w:eastAsia="Calibri" w:hAnsi="Calibri"/>
          <w:sz w:val="22"/>
          <w:szCs w:val="22"/>
          <w:lang w:eastAsia="en-US"/>
        </w:rPr>
        <w:tab/>
        <w:tab/>
      </w:r>
    </w:p>
    <w:p w:rsidR="0056784F" w:rsidRPr="0056784F" w:rsidP="0056784F">
      <w:pPr>
        <w:rPr>
          <w:rFonts w:eastAsia="Calibri"/>
          <w:szCs w:val="24"/>
          <w:lang w:eastAsia="en-US"/>
        </w:rPr>
      </w:pPr>
    </w:p>
    <w:p w:rsidR="0056784F" w:rsidRPr="0056784F" w:rsidP="0056784F">
      <w:pPr>
        <w:rPr>
          <w:rFonts w:eastAsia="Calibri"/>
          <w:szCs w:val="24"/>
          <w:lang w:eastAsia="en-US"/>
        </w:rPr>
      </w:pPr>
    </w:p>
    <w:p w:rsidR="0056784F" w:rsidRPr="0056784F" w:rsidP="0056784F">
      <w:pPr>
        <w:ind w:left="2832" w:hanging="2832"/>
        <w:rPr>
          <w:rFonts w:eastAsia="Calibri"/>
          <w:b/>
          <w:color w:val="9BBB59"/>
          <w:szCs w:val="24"/>
          <w:lang w:eastAsia="en-US"/>
        </w:rPr>
      </w:pPr>
      <w:r w:rsidRPr="0056784F">
        <w:rPr>
          <w:rFonts w:eastAsia="Calibri"/>
          <w:b/>
          <w:szCs w:val="24"/>
          <w:lang w:eastAsia="en-US"/>
        </w:rPr>
        <w:t>Formål:</w:t>
      </w:r>
      <w:r w:rsidRPr="0056784F">
        <w:rPr>
          <w:rFonts w:eastAsia="Calibri"/>
          <w:szCs w:val="24"/>
          <w:lang w:eastAsia="en-US"/>
        </w:rPr>
        <w:t xml:space="preserve"> </w:t>
        <w:tab/>
        <w:t>Identifisere risikoer som kan påvirke tilbudet/kvaliteten ved skolen og tiltak for å minimere dem.</w:t>
      </w:r>
    </w:p>
    <w:p w:rsidR="0056784F" w:rsidRPr="0056784F" w:rsidP="0056784F">
      <w:pPr>
        <w:ind w:left="1410" w:hanging="1410"/>
        <w:rPr>
          <w:rFonts w:eastAsia="Calibri"/>
          <w:b/>
          <w:szCs w:val="24"/>
          <w:lang w:eastAsia="en-US"/>
        </w:rPr>
      </w:pPr>
    </w:p>
    <w:p w:rsidR="0056784F" w:rsidRPr="0056784F" w:rsidP="0056784F">
      <w:pPr>
        <w:ind w:left="2124" w:hanging="2124"/>
        <w:rPr>
          <w:rFonts w:eastAsia="Calibri"/>
          <w:szCs w:val="24"/>
          <w:lang w:eastAsia="en-US"/>
        </w:rPr>
      </w:pPr>
      <w:r w:rsidRPr="0056784F">
        <w:rPr>
          <w:rFonts w:eastAsia="Calibri"/>
          <w:b/>
          <w:szCs w:val="24"/>
          <w:lang w:eastAsia="en-US"/>
        </w:rPr>
        <w:t>Omfang:</w:t>
      </w:r>
      <w:r w:rsidRPr="0056784F">
        <w:rPr>
          <w:rFonts w:eastAsia="Calibri"/>
          <w:szCs w:val="24"/>
          <w:lang w:eastAsia="en-US"/>
        </w:rPr>
        <w:t xml:space="preserve"> </w:t>
        <w:tab/>
        <w:tab/>
      </w:r>
      <w:r w:rsidR="00D70CD4">
        <w:rPr>
          <w:rFonts w:eastAsia="Calibri"/>
          <w:szCs w:val="24"/>
          <w:lang w:eastAsia="en-US"/>
        </w:rPr>
        <w:t>Trøndelag Høyere Yrkesfagskole</w:t>
      </w:r>
    </w:p>
    <w:p w:rsidR="0056784F" w:rsidRPr="0056784F" w:rsidP="0056784F">
      <w:pPr>
        <w:ind w:left="708" w:hanging="708"/>
        <w:rPr>
          <w:rFonts w:eastAsia="Calibri"/>
          <w:b/>
          <w:szCs w:val="24"/>
          <w:lang w:eastAsia="en-US"/>
        </w:rPr>
      </w:pPr>
    </w:p>
    <w:p w:rsidR="0056784F" w:rsidRPr="0056784F" w:rsidP="0056784F">
      <w:pPr>
        <w:ind w:left="2832" w:hanging="2832"/>
        <w:rPr>
          <w:rFonts w:eastAsia="Calibri"/>
          <w:szCs w:val="24"/>
          <w:lang w:eastAsia="en-US"/>
        </w:rPr>
      </w:pPr>
      <w:r w:rsidRPr="0056784F">
        <w:rPr>
          <w:rFonts w:eastAsia="Calibri"/>
          <w:b/>
          <w:szCs w:val="24"/>
          <w:lang w:eastAsia="en-US"/>
        </w:rPr>
        <w:t>Definisjoner:</w:t>
      </w:r>
      <w:r w:rsidRPr="0056784F">
        <w:rPr>
          <w:rFonts w:eastAsia="Calibri"/>
          <w:szCs w:val="24"/>
          <w:lang w:eastAsia="en-US"/>
        </w:rPr>
        <w:t xml:space="preserve"> </w:t>
        <w:tab/>
      </w:r>
    </w:p>
    <w:p w:rsidR="0056784F" w:rsidRPr="0056784F" w:rsidP="0056784F">
      <w:pPr>
        <w:ind w:left="2124" w:hanging="2124"/>
        <w:rPr>
          <w:rFonts w:eastAsia="Calibri"/>
          <w:szCs w:val="24"/>
          <w:lang w:eastAsia="en-US"/>
        </w:rPr>
      </w:pPr>
    </w:p>
    <w:p w:rsidR="0056784F" w:rsidRPr="0056784F" w:rsidP="0056784F">
      <w:pPr>
        <w:ind w:left="2124" w:hanging="2124"/>
        <w:rPr>
          <w:rFonts w:eastAsia="Calibri"/>
          <w:szCs w:val="24"/>
          <w:lang w:eastAsia="en-US"/>
        </w:rPr>
      </w:pPr>
      <w:r w:rsidRPr="0056784F">
        <w:rPr>
          <w:rFonts w:eastAsia="Calibri"/>
          <w:b/>
          <w:szCs w:val="24"/>
          <w:lang w:eastAsia="en-US"/>
        </w:rPr>
        <w:t>Ansvar og myndighet:</w:t>
      </w:r>
      <w:r w:rsidRPr="0056784F">
        <w:rPr>
          <w:rFonts w:eastAsia="Calibri"/>
          <w:szCs w:val="24"/>
          <w:lang w:eastAsia="en-US"/>
        </w:rPr>
        <w:t xml:space="preserve"> </w:t>
        <w:tab/>
        <w:t>Rektor</w:t>
      </w:r>
    </w:p>
    <w:p w:rsidR="0056784F" w:rsidRPr="0056784F" w:rsidP="0056784F">
      <w:pPr>
        <w:rPr>
          <w:rFonts w:eastAsia="Calibri"/>
          <w:b/>
          <w:szCs w:val="24"/>
          <w:lang w:eastAsia="en-US"/>
        </w:rPr>
      </w:pPr>
    </w:p>
    <w:p w:rsidR="0056784F" w:rsidRPr="0056784F" w:rsidP="0056784F">
      <w:pPr>
        <w:keepNext/>
        <w:keepLines/>
        <w:spacing w:before="480" w:line="276" w:lineRule="auto"/>
        <w:outlineLvl w:val="0"/>
        <w:rPr>
          <w:rFonts w:ascii="Cambria" w:eastAsia="MS Gothic" w:hAnsi="Cambria"/>
          <w:b/>
          <w:bCs/>
          <w:sz w:val="28"/>
          <w:szCs w:val="28"/>
          <w:lang w:eastAsia="en-US"/>
        </w:rPr>
      </w:pPr>
      <w:r w:rsidRPr="0056784F">
        <w:rPr>
          <w:rFonts w:ascii="Cambria" w:eastAsia="MS Gothic" w:hAnsi="Cambria"/>
          <w:bCs/>
          <w:sz w:val="22"/>
          <w:szCs w:val="22"/>
          <w:lang w:eastAsia="en-US"/>
        </w:rPr>
        <w:t>Tabellen under beskriver risikoer tilknyttet driften av Trondheim fagskole, hvilke styrker og svakheter vi har på de nevnte områder, samt forslag til tiltak. Dokumentet skal gjennomgås minst en gang i året ved ledelsens gjennomgang for å se om det er endringer i bildet og justere deretter. Det er ikke begrenset til tabellen under. Om det dukker opp nye momenter ved gjennomgang som bør tas inn så skal det implementeres av rektor der og da.</w:t>
      </w:r>
    </w:p>
    <w:p w:rsidR="0056784F" w:rsidRPr="0056784F" w:rsidP="0056784F">
      <w:pPr>
        <w:keepNext/>
        <w:keepLines/>
        <w:spacing w:before="480" w:line="276" w:lineRule="auto"/>
        <w:outlineLvl w:val="0"/>
        <w:rPr>
          <w:rFonts w:ascii="Cambria" w:eastAsia="MS Gothic" w:hAnsi="Cambria"/>
          <w:b/>
          <w:bCs/>
          <w:sz w:val="28"/>
          <w:szCs w:val="28"/>
          <w:lang w:eastAsia="en-US"/>
        </w:rPr>
      </w:pPr>
    </w:p>
    <w:p w:rsidR="0056784F" w:rsidRPr="0056784F" w:rsidP="0056784F">
      <w:pPr>
        <w:spacing w:after="200" w:line="276" w:lineRule="auto"/>
        <w:rPr>
          <w:rFonts w:ascii="Calibri" w:eastAsia="Calibri" w:hAnsi="Calibri"/>
          <w:sz w:val="22"/>
          <w:szCs w:val="22"/>
          <w:lang w:eastAsia="en-US"/>
        </w:rPr>
      </w:pPr>
    </w:p>
    <w:p w:rsidR="0056784F" w:rsidRPr="0056784F" w:rsidP="0056784F">
      <w:pPr>
        <w:spacing w:after="200" w:line="276" w:lineRule="auto"/>
        <w:rPr>
          <w:rFonts w:ascii="Calibri" w:eastAsia="Calibri" w:hAnsi="Calibri"/>
          <w:sz w:val="22"/>
          <w:szCs w:val="22"/>
          <w:lang w:eastAsia="en-US"/>
        </w:rPr>
      </w:pPr>
    </w:p>
    <w:p w:rsidR="0056784F" w:rsidRPr="0056784F" w:rsidP="0056784F">
      <w:pPr>
        <w:keepNext/>
        <w:keepLines/>
        <w:spacing w:before="480" w:line="276" w:lineRule="auto"/>
        <w:outlineLvl w:val="0"/>
        <w:rPr>
          <w:rFonts w:ascii="Cambria" w:eastAsia="MS Gothic" w:hAnsi="Cambria"/>
          <w:b/>
          <w:bCs/>
          <w:color w:val="365F91"/>
          <w:sz w:val="28"/>
          <w:szCs w:val="28"/>
          <w:lang w:eastAsia="en-US"/>
        </w:rPr>
      </w:pPr>
      <w:r w:rsidRPr="0056784F">
        <w:rPr>
          <w:rFonts w:ascii="Cambria" w:eastAsia="MS Gothic" w:hAnsi="Cambria"/>
          <w:b/>
          <w:bCs/>
          <w:color w:val="365F91"/>
          <w:sz w:val="28"/>
          <w:szCs w:val="28"/>
          <w:lang w:eastAsia="en-US"/>
        </w:rPr>
        <w:t>Level 1 og 2 hvor 1 er lavest risiko</w:t>
      </w:r>
    </w:p>
    <w:p w:rsidR="0056784F" w:rsidRPr="0056784F" w:rsidP="0056784F">
      <w:pPr>
        <w:spacing w:line="276" w:lineRule="auto"/>
        <w:rPr>
          <w:rFonts w:eastAsia="Calibri"/>
          <w:b/>
          <w:bCs/>
          <w:szCs w:val="24"/>
          <w:lang w:eastAsia="en-US"/>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018"/>
        <w:gridCol w:w="2177"/>
        <w:gridCol w:w="2180"/>
        <w:gridCol w:w="854"/>
        <w:gridCol w:w="8125"/>
      </w:tblGrid>
      <w:tr w:rsidTr="00540C8C">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5000" w:type="pct"/>
            <w:gridSpan w:val="5"/>
            <w:shd w:val="clear" w:color="auto" w:fill="auto"/>
          </w:tcPr>
          <w:p w:rsidR="0056784F" w:rsidRPr="0056784F" w:rsidP="0056784F">
            <w:pPr>
              <w:rPr>
                <w:rFonts w:ascii="Calibri" w:eastAsia="Calibri" w:hAnsi="Calibri"/>
                <w:b/>
                <w:bCs/>
                <w:sz w:val="22"/>
                <w:szCs w:val="24"/>
                <w:lang w:val="nb-NO" w:eastAsia="en-US" w:bidi="ar-SA"/>
              </w:rPr>
            </w:pPr>
          </w:p>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 xml:space="preserve">Eksterne faktorer </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Risiko</w:t>
            </w:r>
          </w:p>
        </w:tc>
        <w:tc>
          <w:tcPr>
            <w:tcW w:w="709" w:type="pct"/>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Styrker</w:t>
            </w:r>
          </w:p>
        </w:tc>
        <w:tc>
          <w:tcPr>
            <w:tcW w:w="710" w:type="pct"/>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Svakheter</w:t>
            </w:r>
          </w:p>
        </w:tc>
        <w:tc>
          <w:tcPr>
            <w:tcW w:w="278" w:type="pct"/>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Level</w:t>
            </w:r>
          </w:p>
        </w:tc>
        <w:tc>
          <w:tcPr>
            <w:tcW w:w="2646" w:type="pct"/>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Ansvar og Tiltak</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Svak søkning til fagskolen som kan føre til nedlegging av tilbud.</w:t>
            </w:r>
          </w:p>
        </w:tc>
        <w:tc>
          <w:tcPr>
            <w:tcW w:w="709"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Godt behov for offiserer til den Norske handelsflåte. Næringslivsøkning lokalt på blå sektor.</w:t>
            </w:r>
          </w:p>
        </w:tc>
        <w:tc>
          <w:tcPr>
            <w:tcW w:w="710"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Markedet svinger, spesielt i forbindelse med offshore (olje).</w:t>
            </w:r>
          </w:p>
        </w:tc>
        <w:tc>
          <w:tcPr>
            <w:tcW w:w="278" w:type="pct"/>
            <w:shd w:val="clear" w:color="auto" w:fill="auto"/>
          </w:tcPr>
          <w:p w:rsidR="0056784F" w:rsidRPr="0056784F" w:rsidP="00540C8C">
            <w:pPr>
              <w:spacing w:line="276" w:lineRule="auto"/>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2646"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Styret har ansvaret for opprettholdelse av tilbud. Lokal ledelse (rektor og avdelingsleder) jobber målrettet med rekruttering ved lavt søkertall eller mistanke om lavt søkertall.</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Styret vedtar å legge ned tilbud ved Trondheim fagskole.</w:t>
            </w:r>
          </w:p>
        </w:tc>
        <w:tc>
          <w:tcPr>
            <w:tcW w:w="709"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Gode politiske og juridiske arbeidsbetingelser så lenge Trondheim fagskole ligger under Fylkeskommunen.</w:t>
            </w:r>
          </w:p>
        </w:tc>
        <w:tc>
          <w:tcPr>
            <w:tcW w:w="710"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Det ligger to skoler med samme tilbud i samme fylke. Fylket kan vedta å legge ned den ene.</w:t>
            </w:r>
          </w:p>
        </w:tc>
        <w:tc>
          <w:tcPr>
            <w:tcW w:w="278" w:type="pct"/>
            <w:shd w:val="clear" w:color="auto" w:fill="auto"/>
          </w:tcPr>
          <w:p w:rsidR="0056784F" w:rsidRPr="0056784F" w:rsidP="00540C8C">
            <w:pPr>
              <w:spacing w:line="276" w:lineRule="auto"/>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2646" w:type="pct"/>
            <w:shd w:val="clear" w:color="auto" w:fill="auto"/>
          </w:tcPr>
          <w:p w:rsidR="0056784F" w:rsidRPr="0056784F" w:rsidP="00540C8C">
            <w:pPr>
              <w:spacing w:line="276" w:lineRule="auto"/>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 xml:space="preserve">Undersøkelse i næringen om fortsatt behov for tilbudet ved Trondheim fagskole. Rektor (med næring) jobber med å beholde tilbudet/påvirke styret og fylket politisk. </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Kansellering av viktige avtaler i fylket som Trondheim fagskole har behov for.</w:t>
            </w:r>
          </w:p>
        </w:tc>
        <w:tc>
          <w:tcPr>
            <w:tcW w:w="709"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Innkjøp organisert igjennom Fylkeskommunen.</w:t>
            </w:r>
          </w:p>
        </w:tc>
        <w:tc>
          <w:tcPr>
            <w:tcW w:w="710"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Kan være behov for lokale innkjøp som ligger utenfor fylkets avtaler</w:t>
            </w:r>
          </w:p>
        </w:tc>
        <w:tc>
          <w:tcPr>
            <w:tcW w:w="278" w:type="pct"/>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2646"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Normalt sett er det ikke vanskeligheter for skolen selv å inngå avtaler lokalt. Fylket har aksept for lokale avtaler. Viser også til prosedyre for kjøp av varer og tjenester. Ansvar her er rektor og avdelingsleder. Rektor har ansvar for å sørge for å få til nye avtaler opp mot Fylkets innkjøpsprosedyrer om det ikke lar seg å benytte lokale avtaler som ikke finnes i systemet, men som det er behov for.</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Partnere går konkurs eller av andre årsaker ikke kan holde avtalte tjenester som Trondheim fagskole har behov for.</w:t>
            </w:r>
          </w:p>
        </w:tc>
        <w:tc>
          <w:tcPr>
            <w:tcW w:w="709"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Kjøp av eksterne kurs.</w:t>
            </w:r>
          </w:p>
        </w:tc>
        <w:tc>
          <w:tcPr>
            <w:tcW w:w="710"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Kun kurssenter i nærheten av fagskolen som det er naturlig å ha avtaler med.</w:t>
            </w:r>
          </w:p>
        </w:tc>
        <w:tc>
          <w:tcPr>
            <w:tcW w:w="278" w:type="pct"/>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2646"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Historisk så er det mulig å benytte kurssenter andre plasser i landet. Avdelingsleder initierer nødvendige avtaler. Trondheim fagskole har egne simulatoranlegg (brosimulator, maskinromsimulator og GMDSS radiostasjon med tilhørende GMDSS simulator).</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Trondheim fagskole har egne kontraktsfestet service avtaler med leverandørene.</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Studenter ønsker bo/ta utdanningen i en større by.</w:t>
            </w:r>
          </w:p>
        </w:tc>
        <w:tc>
          <w:tcPr>
            <w:tcW w:w="709"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God kundetilfredshet.</w:t>
            </w:r>
          </w:p>
        </w:tc>
        <w:tc>
          <w:tcPr>
            <w:tcW w:w="710"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sz w:val="20"/>
                <w:szCs w:val="22"/>
                <w:lang w:val="nb-NO" w:eastAsia="en-US" w:bidi="ar-SA"/>
              </w:rPr>
              <w:t>Beliggenhet.</w:t>
            </w:r>
          </w:p>
        </w:tc>
        <w:tc>
          <w:tcPr>
            <w:tcW w:w="278" w:type="pct"/>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2646"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Skolen har et godt rykte som gjør at mange studenter velger å ta utdanningen i Trondheim. Ledelsen må hele tiden jobbe for bevaring av det gode ryktet og jobbe målrettet med kvalitet og gode resultater.</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 xml:space="preserve">Det svinger noe fra år til år. Det kan f.eks. være et godt «skolevenn»-miljø fra vgs., maritime fag hvor de samlet bestemmer seg for å begynne i Trondheim. </w:t>
            </w:r>
          </w:p>
        </w:tc>
      </w:tr>
      <w:tr w:rsidTr="00540C8C">
        <w:tblPrEx>
          <w:tblW w:w="5000" w:type="pct"/>
          <w:tblInd w:w="0" w:type="dxa"/>
          <w:tblLayout w:type="fixed"/>
          <w:tblCellMar>
            <w:top w:w="0" w:type="dxa"/>
            <w:left w:w="108" w:type="dxa"/>
            <w:bottom w:w="0" w:type="dxa"/>
            <w:right w:w="108" w:type="dxa"/>
          </w:tblCellMar>
          <w:tblLook w:val="04A0"/>
        </w:tblPrEx>
        <w:tc>
          <w:tcPr>
            <w:tcW w:w="657"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Brudd i krav om eksamenssamarbeid/avtaler med andre skoler.</w:t>
            </w:r>
          </w:p>
        </w:tc>
        <w:tc>
          <w:tcPr>
            <w:tcW w:w="709"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Godt forankret samarbeid mellom alle de maritime fagskolene i landet.</w:t>
            </w:r>
          </w:p>
        </w:tc>
        <w:tc>
          <w:tcPr>
            <w:tcW w:w="710" w:type="pct"/>
            <w:shd w:val="clear" w:color="auto" w:fill="auto"/>
          </w:tcPr>
          <w:p w:rsidR="0056784F" w:rsidRPr="0056784F" w:rsidP="0056784F">
            <w:pPr>
              <w:rPr>
                <w:rFonts w:ascii="Calibri" w:eastAsia="Calibri" w:hAnsi="Calibri"/>
                <w:bCs/>
                <w:sz w:val="22"/>
                <w:szCs w:val="24"/>
                <w:lang w:val="nb-NO" w:eastAsia="en-US" w:bidi="ar-SA"/>
              </w:rPr>
            </w:pPr>
          </w:p>
        </w:tc>
        <w:tc>
          <w:tcPr>
            <w:tcW w:w="278" w:type="pct"/>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2646" w:type="pct"/>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Trondheim fagskole deltar i eksamens ring med totalt 13 andre fagskoler. Kravet er minst 3 samarbeidende skoler. Ved brudd i eksamensringen, skal ledelsen sørge for å lage ny avtale med minst 2 andre skoler. Typisk vil være Ytre Namdal, Lofoten, Bodin og Nordkapp. Avdelingsleder initierer straks forhandling om avtale med dem om felles ring som er i dag, dersom eksisterende eksamens ring bryter sammen.</w:t>
            </w:r>
          </w:p>
        </w:tc>
      </w:tr>
    </w:tbl>
    <w:p w:rsidR="0056784F" w:rsidRPr="0056784F" w:rsidP="0056784F">
      <w:pPr>
        <w:spacing w:line="276" w:lineRule="auto"/>
        <w:rPr>
          <w:rFonts w:eastAsia="Calibri"/>
          <w:b/>
          <w:bCs/>
          <w:szCs w:val="24"/>
          <w:lang w:eastAsia="en-US"/>
        </w:rPr>
      </w:pPr>
    </w:p>
    <w:tbl>
      <w:tblPr>
        <w:tblStyle w:val="TableNormal"/>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26"/>
        <w:gridCol w:w="1978"/>
        <w:gridCol w:w="1980"/>
        <w:gridCol w:w="874"/>
        <w:gridCol w:w="7371"/>
      </w:tblGrid>
      <w:tr w:rsidTr="00540C8C">
        <w:tblPrEx>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029" w:type="dxa"/>
            <w:gridSpan w:val="5"/>
            <w:shd w:val="clear" w:color="auto" w:fill="auto"/>
          </w:tcPr>
          <w:p w:rsidR="0056784F" w:rsidRPr="0056784F" w:rsidP="0056784F">
            <w:pPr>
              <w:rPr>
                <w:rFonts w:ascii="Calibri" w:eastAsia="Calibri" w:hAnsi="Calibri"/>
                <w:b/>
                <w:bCs/>
                <w:sz w:val="22"/>
                <w:szCs w:val="24"/>
                <w:lang w:val="nb-NO" w:eastAsia="en-US" w:bidi="ar-SA"/>
              </w:rPr>
            </w:pPr>
          </w:p>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Resultater</w:t>
            </w:r>
          </w:p>
          <w:p w:rsidR="0056784F" w:rsidRPr="0056784F" w:rsidP="00540C8C">
            <w:pPr>
              <w:ind w:left="720"/>
              <w:rPr>
                <w:rFonts w:ascii="Calibri" w:eastAsia="Calibri" w:hAnsi="Calibri"/>
                <w:b/>
                <w:bCs/>
                <w:sz w:val="22"/>
                <w:szCs w:val="24"/>
                <w:lang w:val="nb-NO" w:eastAsia="en-US" w:bidi="ar-SA"/>
              </w:rPr>
            </w:pPr>
          </w:p>
        </w:tc>
      </w:tr>
      <w:tr w:rsidTr="00540C8C">
        <w:tblPrEx>
          <w:tblW w:w="14029" w:type="dxa"/>
          <w:tblInd w:w="0" w:type="dxa"/>
          <w:tblCellMar>
            <w:top w:w="0" w:type="dxa"/>
            <w:left w:w="108" w:type="dxa"/>
            <w:bottom w:w="0" w:type="dxa"/>
            <w:right w:w="108" w:type="dxa"/>
          </w:tblCellMar>
          <w:tblLook w:val="04A0"/>
        </w:tblPrEx>
        <w:tc>
          <w:tcPr>
            <w:tcW w:w="1826"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Risiko</w:t>
            </w:r>
          </w:p>
        </w:tc>
        <w:tc>
          <w:tcPr>
            <w:tcW w:w="1978" w:type="dxa"/>
            <w:shd w:val="clear" w:color="auto" w:fill="auto"/>
          </w:tcPr>
          <w:p w:rsidR="0056784F" w:rsidRPr="0056784F" w:rsidP="0056784F">
            <w:pPr>
              <w:rPr>
                <w:rFonts w:ascii="Calibri" w:eastAsia="Calibri" w:hAnsi="Calibri"/>
                <w:b/>
                <w:bCs/>
                <w:sz w:val="22"/>
                <w:szCs w:val="24"/>
                <w:lang w:val="nb-NO" w:eastAsia="en-US" w:bidi="ar-SA"/>
              </w:rPr>
            </w:pPr>
            <w:bookmarkStart w:id="0" w:name="_Hlk524954022"/>
            <w:r w:rsidRPr="0056784F">
              <w:rPr>
                <w:rFonts w:ascii="Calibri" w:eastAsia="Calibri" w:hAnsi="Calibri"/>
                <w:b/>
                <w:bCs/>
                <w:sz w:val="22"/>
                <w:szCs w:val="24"/>
                <w:lang w:val="nb-NO" w:eastAsia="en-US" w:bidi="ar-SA"/>
              </w:rPr>
              <w:t>Styrker</w:t>
            </w:r>
          </w:p>
        </w:tc>
        <w:tc>
          <w:tcPr>
            <w:tcW w:w="1980"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Svakheter</w:t>
            </w:r>
          </w:p>
        </w:tc>
        <w:tc>
          <w:tcPr>
            <w:tcW w:w="874"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Level</w:t>
            </w:r>
          </w:p>
        </w:tc>
        <w:tc>
          <w:tcPr>
            <w:tcW w:w="7371"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Ansvar og Tiltak</w:t>
            </w:r>
          </w:p>
        </w:tc>
      </w:tr>
      <w:tr w:rsidTr="00540C8C">
        <w:tblPrEx>
          <w:tblW w:w="14029" w:type="dxa"/>
          <w:tblInd w:w="0" w:type="dxa"/>
          <w:tblCellMar>
            <w:top w:w="0" w:type="dxa"/>
            <w:left w:w="108" w:type="dxa"/>
            <w:bottom w:w="0" w:type="dxa"/>
            <w:right w:w="108" w:type="dxa"/>
          </w:tblCellMar>
          <w:tblLook w:val="04A0"/>
        </w:tblPrEx>
        <w:tc>
          <w:tcPr>
            <w:tcW w:w="1826"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 xml:space="preserve">Studenter feiler/fullfører ikke. </w:t>
            </w:r>
          </w:p>
        </w:tc>
        <w:tc>
          <w:tcPr>
            <w:tcW w:w="1978"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Jevnt over høyt snitt og lite stryk.</w:t>
            </w:r>
          </w:p>
        </w:tc>
        <w:tc>
          <w:tcPr>
            <w:tcW w:w="1980"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Svingninger i enkelte fag enkelte år uten at det kan konkluderes med grunn.</w:t>
            </w:r>
          </w:p>
        </w:tc>
        <w:tc>
          <w:tcPr>
            <w:tcW w:w="874" w:type="dxa"/>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7371"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Ansvar jfr. styringssystemet (studenter som ikke presterer etter forutsetningene, prosedyre, PRO.9, Oppfølging av studenter som ikke presterer)</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Alle studenter som ligger svakt an eller vurderer å slutte skal følges opp tett. Ansvar ligger til koordinator og avdelingsleder. Eventuelle tiltak initieres av avdelingsleder. Unormalt mange stryk (over 20 %) skal evalueres, årsaksanalysers og tiltak skal fattes i neste års måldokument/handlingsplan. Ansvar Rektor.</w:t>
            </w:r>
          </w:p>
          <w:p w:rsidR="0056784F" w:rsidRPr="0056784F" w:rsidP="0056784F">
            <w:pPr>
              <w:rPr>
                <w:rFonts w:ascii="Calibri" w:eastAsia="Calibri" w:hAnsi="Calibri"/>
                <w:bCs/>
                <w:sz w:val="20"/>
                <w:szCs w:val="22"/>
                <w:lang w:val="nb-NO" w:eastAsia="en-US" w:bidi="ar-SA"/>
              </w:rPr>
            </w:pPr>
          </w:p>
        </w:tc>
      </w:tr>
      <w:bookmarkEnd w:id="0"/>
    </w:tbl>
    <w:p w:rsidR="0056784F" w:rsidRPr="0056784F" w:rsidP="0056784F">
      <w:pPr>
        <w:spacing w:line="276" w:lineRule="auto"/>
        <w:rPr>
          <w:rFonts w:eastAsia="Calibri"/>
          <w:b/>
          <w:bCs/>
          <w:szCs w:val="24"/>
          <w:lang w:eastAsia="en-US"/>
        </w:rPr>
      </w:pPr>
    </w:p>
    <w:tbl>
      <w:tblPr>
        <w:tblStyle w:val="TableNormal"/>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38"/>
        <w:gridCol w:w="1985"/>
        <w:gridCol w:w="1901"/>
        <w:gridCol w:w="792"/>
        <w:gridCol w:w="7513"/>
      </w:tblGrid>
      <w:tr w:rsidTr="00540C8C">
        <w:tblPrEx>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029" w:type="dxa"/>
            <w:gridSpan w:val="5"/>
            <w:shd w:val="clear" w:color="auto" w:fill="auto"/>
          </w:tcPr>
          <w:p w:rsidR="0056784F" w:rsidRPr="0056784F" w:rsidP="0056784F">
            <w:pPr>
              <w:rPr>
                <w:rFonts w:ascii="Calibri" w:eastAsia="Calibri" w:hAnsi="Calibri"/>
                <w:b/>
                <w:bCs/>
                <w:sz w:val="22"/>
                <w:szCs w:val="24"/>
                <w:lang w:val="nb-NO" w:eastAsia="en-US" w:bidi="ar-SA"/>
              </w:rPr>
            </w:pPr>
          </w:p>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Organisasjonen</w:t>
            </w:r>
          </w:p>
          <w:p w:rsidR="0056784F" w:rsidRPr="0056784F" w:rsidP="00540C8C">
            <w:pPr>
              <w:ind w:left="720"/>
              <w:rPr>
                <w:rFonts w:ascii="Calibri" w:eastAsia="Calibri" w:hAnsi="Calibri"/>
                <w:b/>
                <w:bCs/>
                <w:sz w:val="22"/>
                <w:szCs w:val="24"/>
                <w:lang w:val="nb-NO" w:eastAsia="en-US" w:bidi="ar-SA"/>
              </w:rPr>
            </w:pPr>
          </w:p>
        </w:tc>
      </w:tr>
      <w:tr w:rsidTr="00540C8C">
        <w:tblPrEx>
          <w:tblW w:w="14029" w:type="dxa"/>
          <w:tblInd w:w="0" w:type="dxa"/>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Risiko</w:t>
            </w:r>
          </w:p>
        </w:tc>
        <w:tc>
          <w:tcPr>
            <w:tcW w:w="1985"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Styrker</w:t>
            </w:r>
          </w:p>
        </w:tc>
        <w:tc>
          <w:tcPr>
            <w:tcW w:w="1901"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Svakheter</w:t>
            </w:r>
          </w:p>
        </w:tc>
        <w:tc>
          <w:tcPr>
            <w:tcW w:w="792"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Level</w:t>
            </w:r>
          </w:p>
        </w:tc>
        <w:tc>
          <w:tcPr>
            <w:tcW w:w="7513"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Ansvar og Tiltak</w:t>
            </w:r>
          </w:p>
        </w:tc>
      </w:tr>
      <w:tr w:rsidTr="00540C8C">
        <w:tblPrEx>
          <w:tblW w:w="14029" w:type="dxa"/>
          <w:tblInd w:w="0" w:type="dxa"/>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Mister godkjenninger.</w:t>
            </w:r>
          </w:p>
        </w:tc>
        <w:tc>
          <w:tcPr>
            <w:tcW w:w="1985"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Gode planlagte prosesser og regelmessige revisjoner.</w:t>
            </w:r>
          </w:p>
        </w:tc>
        <w:tc>
          <w:tcPr>
            <w:tcW w:w="1901"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Mye ansvar ligger på få personer ved skolen.</w:t>
            </w:r>
          </w:p>
        </w:tc>
        <w:tc>
          <w:tcPr>
            <w:tcW w:w="792" w:type="dxa"/>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7513"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 xml:space="preserve">Kvalitetsleder/avdelingsleder. Straks en mister en godkjenning eller mistenker at en ligger an til å kunne miste en godkjenning, skal kontakt med vedkommende parter opprettes. Det skal søkes om utsettelser, begrunnelser etter som hva saken gjelder. Saken meldes fagskolekoordinator i fylket og videre til Styret. Tiltak skal iverksettes umiddelbart. Ressurser skal settes inn og krav for å bevare godkjenningen skal imøtekommes så snart som mulig. Ansvaret ligger i første omgang lokalt (rektor, kvalitetsleder/avdelingsleder), men kan også bli en styresak om årsaken ligger på eksterne faktorer eller skolen ikke har ressurs for å opprettholde godkjenningen selv. </w:t>
            </w:r>
          </w:p>
        </w:tc>
      </w:tr>
      <w:tr w:rsidTr="00540C8C">
        <w:tblPrEx>
          <w:tblW w:w="14029" w:type="dxa"/>
          <w:tblInd w:w="0" w:type="dxa"/>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Økonomiske rammer.</w:t>
            </w:r>
          </w:p>
        </w:tc>
        <w:tc>
          <w:tcPr>
            <w:tcW w:w="1985"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Trondheim fagskole har ikke hatt problemer med å gå i balanse de senere år. Betingelsene er gode.</w:t>
            </w:r>
          </w:p>
        </w:tc>
        <w:tc>
          <w:tcPr>
            <w:tcW w:w="1901"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 xml:space="preserve">Endringer i fylket og hvordan budsjettet skal beregnes for den enkelte skole (fordelingsnøkkel). </w:t>
            </w:r>
          </w:p>
        </w:tc>
        <w:tc>
          <w:tcPr>
            <w:tcW w:w="792" w:type="dxa"/>
            <w:shd w:val="clear" w:color="auto" w:fill="auto"/>
          </w:tcPr>
          <w:p w:rsidR="0056784F" w:rsidRPr="0056784F" w:rsidP="0056784F">
            <w:pPr>
              <w:rPr>
                <w:rFonts w:ascii="Calibri" w:eastAsia="Calibri" w:hAnsi="Calibri"/>
                <w:bCs/>
                <w:sz w:val="20"/>
                <w:szCs w:val="22"/>
                <w:lang w:val="nb-NO" w:eastAsia="en-US" w:bidi="ar-SA"/>
              </w:rPr>
            </w:pPr>
          </w:p>
        </w:tc>
        <w:tc>
          <w:tcPr>
            <w:tcW w:w="7513"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Lokalt plikter skolen å forholde seg til de økonomiske rammene som er gitt fra styret. Rektor og avdelingsleder går igjennom det økonomiske for å se på mulige innsparinger. En skal se om det er forsvarlig å kjøre noe mer fellesundervisning, om det er noe utstyr å spare inn på etc. Skolen skal også se på egne priser på egne kurs (inntjeningen) om det er noe som kan endres. Først når skolen mener seg å være i den situasjonen at det ikke kan gjøres noe lokalt for å bedre økonomien, går saken tilbake til styret. Styret plikter å gi fagskolen en forsvarlig økonomisk ramme.</w:t>
            </w:r>
          </w:p>
        </w:tc>
      </w:tr>
    </w:tbl>
    <w:p w:rsidR="0056784F" w:rsidRPr="0056784F" w:rsidP="0056784F">
      <w:pPr>
        <w:spacing w:line="276" w:lineRule="auto"/>
        <w:rPr>
          <w:rFonts w:eastAsia="Calibri"/>
          <w:b/>
          <w:bCs/>
          <w:szCs w:val="24"/>
          <w:lang w:eastAsia="en-US"/>
        </w:rPr>
      </w:pPr>
    </w:p>
    <w:tbl>
      <w:tblPr>
        <w:tblStyle w:val="TableNormal"/>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838"/>
        <w:gridCol w:w="1985"/>
        <w:gridCol w:w="1842"/>
        <w:gridCol w:w="851"/>
        <w:gridCol w:w="7513"/>
      </w:tblGrid>
      <w:tr w:rsidTr="00540C8C">
        <w:tblPrEx>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4029" w:type="dxa"/>
            <w:gridSpan w:val="5"/>
            <w:shd w:val="clear" w:color="auto" w:fill="auto"/>
          </w:tcPr>
          <w:p w:rsidR="0056784F" w:rsidRPr="0056784F" w:rsidP="0056784F">
            <w:pPr>
              <w:rPr>
                <w:rFonts w:ascii="Calibri" w:eastAsia="Calibri" w:hAnsi="Calibri"/>
                <w:b/>
                <w:bCs/>
                <w:sz w:val="22"/>
                <w:szCs w:val="24"/>
                <w:lang w:val="nb-NO" w:eastAsia="en-US" w:bidi="ar-SA"/>
              </w:rPr>
            </w:pPr>
          </w:p>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Interne forutsetninger</w:t>
            </w:r>
          </w:p>
          <w:p w:rsidR="0056784F" w:rsidRPr="0056784F" w:rsidP="00540C8C">
            <w:pPr>
              <w:ind w:left="720"/>
              <w:rPr>
                <w:rFonts w:ascii="Calibri" w:eastAsia="Calibri" w:hAnsi="Calibri"/>
                <w:b/>
                <w:bCs/>
                <w:sz w:val="22"/>
                <w:szCs w:val="24"/>
                <w:lang w:val="nb-NO" w:eastAsia="en-US" w:bidi="ar-SA"/>
              </w:rPr>
            </w:pPr>
          </w:p>
        </w:tc>
      </w:tr>
      <w:tr w:rsidTr="00540C8C">
        <w:tblPrEx>
          <w:tblW w:w="14029" w:type="dxa"/>
          <w:tblInd w:w="0" w:type="dxa"/>
          <w:tblLayout w:type="fixed"/>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Risiko</w:t>
            </w:r>
          </w:p>
        </w:tc>
        <w:tc>
          <w:tcPr>
            <w:tcW w:w="1985"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Styrker</w:t>
            </w:r>
          </w:p>
        </w:tc>
        <w:tc>
          <w:tcPr>
            <w:tcW w:w="1842"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Svakheter</w:t>
            </w:r>
          </w:p>
        </w:tc>
        <w:tc>
          <w:tcPr>
            <w:tcW w:w="851"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Level</w:t>
            </w:r>
          </w:p>
        </w:tc>
        <w:tc>
          <w:tcPr>
            <w:tcW w:w="7513"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Ansvar og Tiltak</w:t>
            </w:r>
          </w:p>
        </w:tc>
      </w:tr>
      <w:tr w:rsidTr="00540C8C">
        <w:tblPrEx>
          <w:tblW w:w="14029" w:type="dxa"/>
          <w:tblInd w:w="0" w:type="dxa"/>
          <w:tblLayout w:type="fixed"/>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Faglærere slutter/ sykemeldinger.</w:t>
            </w:r>
          </w:p>
        </w:tc>
        <w:tc>
          <w:tcPr>
            <w:tcW w:w="1985"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Har meget god kompetanse ved Trondheim fagskole og gode partnere som kan hjelpe til ved sykefravær.</w:t>
            </w:r>
          </w:p>
        </w:tc>
        <w:tc>
          <w:tcPr>
            <w:tcW w:w="1842"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Kan være noe sårbar ved lengre sykemeldinger/</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fravær av faglærere.</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Spesielt gjelder dette STCW-relaterte/</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Funksjonsfag.</w:t>
            </w:r>
          </w:p>
          <w:p w:rsidR="0056784F" w:rsidRPr="0056784F" w:rsidP="0056784F">
            <w:pPr>
              <w:rPr>
                <w:rFonts w:ascii="Calibri" w:eastAsia="Calibri" w:hAnsi="Calibri"/>
                <w:bCs/>
                <w:sz w:val="20"/>
                <w:szCs w:val="22"/>
                <w:lang w:val="nb-NO" w:eastAsia="en-US" w:bidi="ar-SA"/>
              </w:rPr>
            </w:pPr>
          </w:p>
        </w:tc>
        <w:tc>
          <w:tcPr>
            <w:tcW w:w="851" w:type="dxa"/>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2</w:t>
            </w:r>
          </w:p>
        </w:tc>
        <w:tc>
          <w:tcPr>
            <w:tcW w:w="7513"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Avdelingsleder har det daglige ansvaret med å finne vikarer. Rektor og avdelingsleder samlet skal finne mer permanente løsninger ved lengre tids fravær. Fokuset skal hele tiden være at studentene skal få den undervisningen de har krav på. Ved sykefravær: I første omgang forsøker enn å dekke inn fraværet med eksisterende lærerkrefter på bygget. Noe egenstudietid for studentene kan påregnes i enkelte timer i starten. Ved forventet lengre tids sykemelding kontaktes partnerbedrifter slik som sikkerhetssenteret, den videregående skolen og lokale rederi for å forsøke finne gode vikarer. Normalt sett fungerer dette greit i noen uker. Om sykefraværet er lengre tids sykemelding (måneder) initierer rektor å utlyse engasjement for inntil 6 måneder av gangen. Om en faglærer slutter, følges Fylkeskommunens retningslinjer for ansettelse av ny faglærer. Dette punktet har Level 2 fordi det kan være svært forstyrrende for undervisningen/progresjonen i fagene det gjelder om en person har lengere tids sykemelding, noe som igjen kan føre til lavere kvalitet, dårligere rykte og mindre søkning m.m.</w:t>
            </w:r>
          </w:p>
        </w:tc>
      </w:tr>
      <w:tr w:rsidTr="00540C8C">
        <w:tblPrEx>
          <w:tblW w:w="14029" w:type="dxa"/>
          <w:tblInd w:w="0" w:type="dxa"/>
          <w:tblLayout w:type="fixed"/>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Faglærere som ikke underviser etter studieplan/fremdriftsplan.</w:t>
            </w:r>
          </w:p>
        </w:tc>
        <w:tc>
          <w:tcPr>
            <w:tcW w:w="1985"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Skole med sammensveisede kollegaer med felles oppfatning av planverk og undervisnings-metoder.</w:t>
            </w:r>
          </w:p>
        </w:tc>
        <w:tc>
          <w:tcPr>
            <w:tcW w:w="1842"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Nye lærere, både ansatte og skifte av innleide fra vgs. kan bruke en del tid før rutinene til fagskolen er innarbeidet.</w:t>
            </w:r>
          </w:p>
        </w:tc>
        <w:tc>
          <w:tcPr>
            <w:tcW w:w="851" w:type="dxa"/>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7513"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 xml:space="preserve">Avdelingsleder sitt ansvar. Ytterste konsekvens kan bli klager fra studenter som kommer frem til NOKUT, Sjøfartsdirektorat og eller DNVGL. Dette vil komme frem i studiebarometret, møter med tillitsvalgte eller igjennom klager eller avvikssystemet. Saken blir tatt opp med vedkommende faglærer og vil, om det ikke bedrer seg, bli en personalsak som følger de rutiner som gjelder for ansatte i Fylkeskommunen. Avdelingsleder skal sørge for eventuelt vikar eller andre tiltak som skal til for å rette opp. </w:t>
            </w:r>
          </w:p>
          <w:p w:rsidR="0056784F" w:rsidRPr="00540C8C"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ekstra timer/resurs skal vurderes ut ifra hvordan studentene ligger an i de fagene saken gjelder. Det er avdelingsleder sitt ansvar å sørge for å opplyse/gi opplæring i forskjellene fra Opplæringsloven og fagskoleloven når lærere fra vgs. benyttes i undervisningen. Faglærere skal opplyses hvorfor vi har de planene vi har og hvorfor de må følges.</w:t>
            </w:r>
          </w:p>
          <w:p w:rsidR="0056784F" w:rsidRPr="0056784F" w:rsidP="0056784F">
            <w:pPr>
              <w:rPr>
                <w:rFonts w:ascii="Calibri" w:eastAsia="Calibri" w:hAnsi="Calibri"/>
                <w:bCs/>
                <w:sz w:val="20"/>
                <w:szCs w:val="22"/>
                <w:lang w:val="nb-NO" w:eastAsia="en-US" w:bidi="ar-SA"/>
              </w:rPr>
            </w:pPr>
          </w:p>
        </w:tc>
      </w:tr>
      <w:tr w:rsidTr="00540C8C">
        <w:tblPrEx>
          <w:tblW w:w="14029" w:type="dxa"/>
          <w:tblInd w:w="0" w:type="dxa"/>
          <w:tblLayout w:type="fixed"/>
          <w:tblCellMar>
            <w:top w:w="0" w:type="dxa"/>
            <w:left w:w="108" w:type="dxa"/>
            <w:bottom w:w="0" w:type="dxa"/>
            <w:right w:w="108" w:type="dxa"/>
          </w:tblCellMar>
          <w:tblLook w:val="04A0"/>
        </w:tblPrEx>
        <w:tc>
          <w:tcPr>
            <w:tcW w:w="1838"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Samarbeidsavtaler om lærerkrefter/</w:t>
            </w:r>
          </w:p>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tjenester ikke fungerer i forhold til den videregående skolen som er samlokalisert</w:t>
            </w:r>
          </w:p>
        </w:tc>
        <w:tc>
          <w:tcPr>
            <w:tcW w:w="1985"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Meget godt forhold til den videregående skolen som er samlokalisert</w:t>
            </w:r>
          </w:p>
        </w:tc>
        <w:tc>
          <w:tcPr>
            <w:tcW w:w="1842"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Ingen spesielle</w:t>
            </w:r>
          </w:p>
        </w:tc>
        <w:tc>
          <w:tcPr>
            <w:tcW w:w="851" w:type="dxa"/>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1</w:t>
            </w:r>
          </w:p>
        </w:tc>
        <w:tc>
          <w:tcPr>
            <w:tcW w:w="7513" w:type="dxa"/>
            <w:shd w:val="clear" w:color="auto" w:fill="auto"/>
          </w:tcPr>
          <w:p w:rsidR="0056784F" w:rsidRPr="0056784F" w:rsidP="0056784F">
            <w:pPr>
              <w:rPr>
                <w:rFonts w:ascii="Calibri" w:eastAsia="Calibri" w:hAnsi="Calibri"/>
                <w:bCs/>
                <w:color w:val="FF0000"/>
                <w:sz w:val="20"/>
                <w:szCs w:val="22"/>
                <w:lang w:val="nb-NO" w:eastAsia="en-US" w:bidi="ar-SA"/>
              </w:rPr>
            </w:pPr>
            <w:r w:rsidRPr="0056784F">
              <w:rPr>
                <w:rFonts w:ascii="Calibri" w:eastAsia="Calibri" w:hAnsi="Calibri"/>
                <w:bCs/>
                <w:sz w:val="20"/>
                <w:szCs w:val="22"/>
                <w:lang w:val="nb-NO" w:eastAsia="en-US" w:bidi="ar-SA"/>
              </w:rPr>
              <w:t>Begge skolene ligger under Fylkeskommunen. Trondheim fagskole har ikke vært avhengige av tjenester fra den videregående skolen innenfor det samme fagfelt, og de er heller ikke samlokalisert. Trondheim fagskole er samlokalisert med Byåsen videregående skole og har tilgang på lærerkrefter innen realfag, administrative tjenester og IKT. Ansvaret ligger overordnet på Fylket, mens det forhandles lokalt om detaljene i avtalene som foreligger. Ansvaret ligger hos Rektor og avdelingsleder.</w:t>
            </w:r>
          </w:p>
        </w:tc>
      </w:tr>
    </w:tbl>
    <w:p w:rsidR="0056784F" w:rsidRPr="0056784F" w:rsidP="0056784F">
      <w:pPr>
        <w:spacing w:line="276" w:lineRule="auto"/>
        <w:rPr>
          <w:rFonts w:eastAsia="Calibri"/>
          <w:b/>
          <w:bCs/>
          <w:szCs w:val="24"/>
          <w:lang w:eastAsia="en-US"/>
        </w:rPr>
      </w:pPr>
    </w:p>
    <w:tbl>
      <w:tblPr>
        <w:tblStyle w:val="TableNormal"/>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16"/>
        <w:gridCol w:w="1962"/>
        <w:gridCol w:w="1887"/>
        <w:gridCol w:w="851"/>
        <w:gridCol w:w="7513"/>
      </w:tblGrid>
      <w:tr w:rsidTr="00540C8C">
        <w:tblPrEx>
          <w:tblW w:w="140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029" w:type="dxa"/>
            <w:gridSpan w:val="5"/>
            <w:shd w:val="clear" w:color="auto" w:fill="auto"/>
          </w:tcPr>
          <w:p w:rsidR="0056784F" w:rsidRPr="0056784F" w:rsidP="0056784F">
            <w:pPr>
              <w:rPr>
                <w:rFonts w:ascii="Calibri" w:eastAsia="Calibri" w:hAnsi="Calibri"/>
                <w:b/>
                <w:bCs/>
                <w:sz w:val="22"/>
                <w:szCs w:val="24"/>
                <w:lang w:val="nb-NO" w:eastAsia="en-US" w:bidi="ar-SA"/>
              </w:rPr>
            </w:pPr>
          </w:p>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Tilbud/kurs</w:t>
            </w:r>
          </w:p>
          <w:p w:rsidR="0056784F" w:rsidRPr="0056784F" w:rsidP="00540C8C">
            <w:pPr>
              <w:ind w:left="720"/>
              <w:rPr>
                <w:rFonts w:ascii="Calibri" w:eastAsia="Calibri" w:hAnsi="Calibri"/>
                <w:b/>
                <w:bCs/>
                <w:sz w:val="22"/>
                <w:szCs w:val="24"/>
                <w:lang w:val="nb-NO" w:eastAsia="en-US" w:bidi="ar-SA"/>
              </w:rPr>
            </w:pPr>
          </w:p>
        </w:tc>
      </w:tr>
      <w:tr w:rsidTr="00540C8C">
        <w:tblPrEx>
          <w:tblW w:w="14029" w:type="dxa"/>
          <w:tblInd w:w="0" w:type="dxa"/>
          <w:tblCellMar>
            <w:top w:w="0" w:type="dxa"/>
            <w:left w:w="108" w:type="dxa"/>
            <w:bottom w:w="0" w:type="dxa"/>
            <w:right w:w="108" w:type="dxa"/>
          </w:tblCellMar>
          <w:tblLook w:val="04A0"/>
        </w:tblPrEx>
        <w:tc>
          <w:tcPr>
            <w:tcW w:w="1816"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Risiko</w:t>
            </w:r>
          </w:p>
        </w:tc>
        <w:tc>
          <w:tcPr>
            <w:tcW w:w="1962"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Styrker</w:t>
            </w:r>
          </w:p>
        </w:tc>
        <w:tc>
          <w:tcPr>
            <w:tcW w:w="1887"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Svakheter</w:t>
            </w:r>
          </w:p>
        </w:tc>
        <w:tc>
          <w:tcPr>
            <w:tcW w:w="851"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Level</w:t>
            </w:r>
          </w:p>
        </w:tc>
        <w:tc>
          <w:tcPr>
            <w:tcW w:w="7513" w:type="dxa"/>
            <w:shd w:val="clear" w:color="auto" w:fill="auto"/>
          </w:tcPr>
          <w:p w:rsidR="0056784F" w:rsidRPr="0056784F" w:rsidP="0056784F">
            <w:pPr>
              <w:rPr>
                <w:rFonts w:ascii="Calibri" w:eastAsia="Calibri" w:hAnsi="Calibri"/>
                <w:b/>
                <w:bCs/>
                <w:sz w:val="22"/>
                <w:szCs w:val="24"/>
                <w:lang w:val="nb-NO" w:eastAsia="en-US" w:bidi="ar-SA"/>
              </w:rPr>
            </w:pPr>
            <w:r w:rsidRPr="0056784F">
              <w:rPr>
                <w:rFonts w:ascii="Calibri" w:eastAsia="Calibri" w:hAnsi="Calibri"/>
                <w:b/>
                <w:bCs/>
                <w:sz w:val="22"/>
                <w:szCs w:val="24"/>
                <w:lang w:val="nb-NO" w:eastAsia="en-US" w:bidi="ar-SA"/>
              </w:rPr>
              <w:t>Ansvar og Tiltak</w:t>
            </w:r>
          </w:p>
        </w:tc>
      </w:tr>
      <w:tr w:rsidTr="00540C8C">
        <w:tblPrEx>
          <w:tblW w:w="14029" w:type="dxa"/>
          <w:tblInd w:w="0" w:type="dxa"/>
          <w:tblCellMar>
            <w:top w:w="0" w:type="dxa"/>
            <w:left w:w="108" w:type="dxa"/>
            <w:bottom w:w="0" w:type="dxa"/>
            <w:right w:w="108" w:type="dxa"/>
          </w:tblCellMar>
          <w:tblLook w:val="04A0"/>
        </w:tblPrEx>
        <w:tc>
          <w:tcPr>
            <w:tcW w:w="1816"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Har ikke det tilbudet som etterspørres i næringen</w:t>
            </w:r>
          </w:p>
        </w:tc>
        <w:tc>
          <w:tcPr>
            <w:tcW w:w="1962"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Har ikke alle tilbudene næringen etterspør pr i dag.</w:t>
            </w:r>
          </w:p>
        </w:tc>
        <w:tc>
          <w:tcPr>
            <w:tcW w:w="1887"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Kan til tider være lavt søkertall.</w:t>
            </w:r>
          </w:p>
        </w:tc>
        <w:tc>
          <w:tcPr>
            <w:tcW w:w="851" w:type="dxa"/>
            <w:shd w:val="clear" w:color="auto" w:fill="auto"/>
          </w:tcPr>
          <w:p w:rsidR="0056784F" w:rsidRPr="0056784F" w:rsidP="00540C8C">
            <w:pPr>
              <w:jc w:val="cente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2</w:t>
            </w:r>
          </w:p>
        </w:tc>
        <w:tc>
          <w:tcPr>
            <w:tcW w:w="7513" w:type="dxa"/>
            <w:shd w:val="clear" w:color="auto" w:fill="auto"/>
          </w:tcPr>
          <w:p w:rsidR="0056784F" w:rsidRPr="0056784F" w:rsidP="0056784F">
            <w:pPr>
              <w:rPr>
                <w:rFonts w:ascii="Calibri" w:eastAsia="Calibri" w:hAnsi="Calibri"/>
                <w:bCs/>
                <w:sz w:val="20"/>
                <w:szCs w:val="22"/>
                <w:lang w:val="nb-NO" w:eastAsia="en-US" w:bidi="ar-SA"/>
              </w:rPr>
            </w:pPr>
            <w:r w:rsidRPr="0056784F">
              <w:rPr>
                <w:rFonts w:ascii="Calibri" w:eastAsia="Calibri" w:hAnsi="Calibri"/>
                <w:bCs/>
                <w:sz w:val="20"/>
                <w:szCs w:val="22"/>
                <w:lang w:val="nb-NO" w:eastAsia="en-US" w:bidi="ar-SA"/>
              </w:rPr>
              <w:t>Trondheim fagskole er sårbar for endringer i markedet. Vi har kun skipsoffisersutdanning. Selv om denne linjen har vært stabil i mange år, så vil det være behov for andre tilbud i fremtiden. Trondheim fagskole bør jobbe målrettet med å opprette nye tilbud som passer for en næring i endring som vil kreve økning i lokalitet og mer ressurser. Ansvaret ligger til styret for vedtak og utarbeidelse ligger til Rektor/avdelingsleder.</w:t>
            </w:r>
          </w:p>
        </w:tc>
      </w:tr>
    </w:tbl>
    <w:p w:rsidR="0056784F" w:rsidRPr="0056784F" w:rsidP="0056784F">
      <w:pPr>
        <w:spacing w:line="276" w:lineRule="auto"/>
        <w:rPr>
          <w:rFonts w:eastAsia="Calibri"/>
          <w:sz w:val="22"/>
          <w:szCs w:val="22"/>
          <w:lang w:eastAsia="en-US"/>
        </w:rPr>
      </w:pPr>
    </w:p>
    <w:p w:rsidR="0056784F" w:rsidRPr="0056784F" w:rsidP="0056784F">
      <w:pPr>
        <w:tabs>
          <w:tab w:val="center" w:pos="4536"/>
          <w:tab w:val="right" w:pos="9072"/>
        </w:tabs>
        <w:rPr>
          <w:b/>
          <w:bCs/>
          <w:color w:val="365F91"/>
          <w:sz w:val="32"/>
          <w:szCs w:val="32"/>
          <w:lang w:eastAsia="en-US"/>
        </w:rPr>
      </w:pPr>
      <w:r w:rsidRPr="0056784F">
        <w:rPr>
          <w:sz w:val="20"/>
        </w:rPr>
        <w:t>Skjema</w:t>
      </w:r>
      <w:r w:rsidRPr="0056784F">
        <w:rPr>
          <w:sz w:val="20"/>
          <w:lang w:val="x-none"/>
        </w:rPr>
        <w:t xml:space="preserve"> for </w:t>
      </w:r>
      <w:r w:rsidRPr="0056784F">
        <w:rPr>
          <w:sz w:val="20"/>
        </w:rPr>
        <w:t>TF. Revisjonsnummer. 8. januar 2020. Godkjenning:</w:t>
      </w:r>
    </w:p>
    <w:p w:rsidR="0056784F" w:rsidRPr="0056784F" w:rsidP="0056784F">
      <w:pPr>
        <w:tabs>
          <w:tab w:val="center" w:pos="4536"/>
          <w:tab w:val="right" w:pos="9072"/>
        </w:tabs>
        <w:ind w:hanging="993"/>
        <w:rPr>
          <w:b/>
          <w:bCs/>
          <w:color w:val="365F91"/>
          <w:sz w:val="32"/>
          <w:szCs w:val="32"/>
          <w:lang w:eastAsia="en-US"/>
        </w:rPr>
      </w:pPr>
    </w:p>
    <w:p w:rsidR="0056784F" w:rsidRPr="0056784F" w:rsidP="0056784F">
      <w:pPr>
        <w:spacing w:line="276" w:lineRule="auto"/>
        <w:rPr>
          <w:rFonts w:eastAsia="Calibri"/>
          <w:b/>
          <w:sz w:val="22"/>
          <w:szCs w:val="22"/>
          <w:lang w:eastAsia="en-US"/>
        </w:rPr>
      </w:pPr>
    </w:p>
    <w:p w:rsidR="0056784F" w:rsidRPr="0056784F" w:rsidP="0056784F">
      <w:pPr>
        <w:spacing w:line="276" w:lineRule="auto"/>
        <w:rPr>
          <w:rFonts w:eastAsia="Calibri"/>
          <w:b/>
          <w:sz w:val="22"/>
          <w:szCs w:val="22"/>
          <w:lang w:eastAsia="en-US"/>
        </w:rPr>
      </w:pPr>
    </w:p>
    <w:p w:rsidR="0056784F" w:rsidRPr="0056784F" w:rsidP="0056784F">
      <w:pPr>
        <w:spacing w:line="276" w:lineRule="auto"/>
        <w:rPr>
          <w:rFonts w:eastAsia="Calibri"/>
          <w:sz w:val="22"/>
          <w:szCs w:val="22"/>
          <w:lang w:eastAsia="en-US"/>
        </w:rPr>
      </w:pPr>
      <w:r w:rsidRPr="0056784F">
        <w:rPr>
          <w:rFonts w:eastAsia="Calibri"/>
          <w:b/>
          <w:sz w:val="22"/>
          <w:szCs w:val="22"/>
          <w:lang w:eastAsia="en-US"/>
        </w:rPr>
        <w:t>Referanser:</w:t>
        <w:tab/>
      </w:r>
      <w:r w:rsidRPr="0056784F">
        <w:rPr>
          <w:rFonts w:eastAsia="Calibri"/>
          <w:sz w:val="22"/>
          <w:szCs w:val="22"/>
          <w:lang w:eastAsia="en-US"/>
        </w:rPr>
        <w:t>PRO.34 «Risikovurdering for å avdekke og forebygge potensielle avvik/hendelser»</w:t>
      </w:r>
    </w:p>
    <w:p w:rsidR="0056784F" w:rsidRPr="0056784F" w:rsidP="0056784F">
      <w:pPr>
        <w:spacing w:line="276" w:lineRule="auto"/>
        <w:ind w:left="708" w:firstLine="708"/>
        <w:rPr>
          <w:rFonts w:eastAsia="Calibri"/>
          <w:sz w:val="22"/>
          <w:szCs w:val="22"/>
          <w:lang w:eastAsia="en-US"/>
        </w:rPr>
      </w:pPr>
      <w:r w:rsidRPr="0056784F">
        <w:rPr>
          <w:rFonts w:eastAsia="Calibri"/>
          <w:sz w:val="22"/>
          <w:szCs w:val="22"/>
          <w:lang w:eastAsia="en-US"/>
        </w:rPr>
        <w:t>DNV-GL 2.1.4</w:t>
        <w:tab/>
      </w:r>
    </w:p>
    <w:p w:rsidR="0056784F" w:rsidRPr="0056784F" w:rsidP="0056784F">
      <w:pPr>
        <w:spacing w:line="276" w:lineRule="auto"/>
        <w:rPr>
          <w:rFonts w:eastAsia="Calibri"/>
          <w:color w:val="FF0000"/>
          <w:sz w:val="22"/>
          <w:szCs w:val="22"/>
          <w:lang w:eastAsia="en-US"/>
        </w:rPr>
      </w:pPr>
    </w:p>
    <w:p w:rsidR="0056784F" w:rsidRPr="0056784F" w:rsidP="0056784F">
      <w:pPr>
        <w:spacing w:line="276" w:lineRule="auto"/>
        <w:rPr>
          <w:rFonts w:eastAsia="Calibri"/>
          <w:color w:val="FF0000"/>
          <w:sz w:val="22"/>
          <w:szCs w:val="22"/>
          <w:lang w:eastAsia="en-US"/>
        </w:rPr>
      </w:pPr>
      <w:r w:rsidRPr="0056784F">
        <w:rPr>
          <w:rFonts w:eastAsia="Calibri"/>
          <w:color w:val="FF0000"/>
          <w:sz w:val="22"/>
          <w:szCs w:val="22"/>
          <w:lang w:eastAsia="en-US"/>
        </w:rPr>
        <w:tab/>
      </w:r>
    </w:p>
    <w:p w:rsidR="0056784F" w:rsidRPr="0056784F" w:rsidP="0056784F">
      <w:pPr>
        <w:rPr>
          <w:rFonts w:eastAsia="Calibri"/>
          <w:color w:val="FF0000"/>
          <w:szCs w:val="24"/>
          <w:lang w:eastAsia="en-US"/>
        </w:rPr>
      </w:pPr>
      <w:r w:rsidRPr="0056784F">
        <w:rPr>
          <w:rFonts w:eastAsia="Calibri"/>
          <w:color w:val="FF0000"/>
          <w:szCs w:val="24"/>
          <w:lang w:eastAsia="en-US"/>
        </w:rPr>
        <w:tab/>
      </w:r>
    </w:p>
    <w:p w:rsidR="0056784F" w:rsidRPr="0056784F" w:rsidP="0056784F">
      <w:pPr>
        <w:spacing w:after="160" w:line="259" w:lineRule="auto"/>
        <w:rPr>
          <w:rFonts w:ascii="Calibri" w:eastAsia="Calibri" w:hAnsi="Calibri"/>
          <w:sz w:val="22"/>
          <w:szCs w:val="22"/>
          <w:lang w:eastAsia="en-US"/>
        </w:rPr>
      </w:pPr>
    </w:p>
    <w:p w:rsidR="001C0FFA"/>
    <w:p w:rsidR="001C0FFA"/>
    <w:p w:rsidR="001C0FFA"/>
    <w:p w:rsidR="001C0FFA"/>
    <w:p w:rsidR="001C0FFA">
      <w:pPr>
        <w:rPr>
          <w:color w:val="808080"/>
        </w:rPr>
      </w:pPr>
      <w:r>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677"/>
        <w:gridCol w:w="76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 w:name="EK_Referanse"/>
            <w:r>
              <w:rPr>
                <w:b w:val="0"/>
                <w:color w:val="0000FF"/>
                <w:u w:val="single"/>
              </w:rPr>
              <w:t xml:space="preserve"> </w:t>
            </w:r>
          </w:p>
        </w:tc>
        <w:tc>
          <w:tcPr>
            <w:tcBorders>
              <w:top w:val="nil"/>
              <w:left w:val="nil"/>
              <w:bottom w:val="nil"/>
              <w:right w:val="nil"/>
            </w:tcBorders>
          </w:tcPr>
          <w:p>
            <w:pPr>
              <w:numPr>
                <w:ilvl w:val="0"/>
                <w:numId w:val="0"/>
              </w:numPr>
              <w:rPr>
                <w:b w:val="0"/>
                <w:color w:val="0000FF"/>
                <w:u w:val="single"/>
              </w:rPr>
            </w:pPr>
            <w:r>
              <w:rPr>
                <w:b w:val="0"/>
                <w:color w:val="0000FF"/>
                <w:u w:val="single"/>
              </w:rPr>
              <w:t xml:space="preserve"> </w:t>
            </w:r>
          </w:p>
        </w:tc>
      </w:tr>
    </w:tbl>
    <w:p w:rsidR="001C0FFA">
      <w:bookmarkEnd w:id="1"/>
      <w: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2" w:name="EK_EksRef"/>
            <w:r>
              <w:rPr>
                <w:b w:val="0"/>
                <w:color w:val="0000FF"/>
                <w:u w:val="single"/>
              </w:rPr>
              <w:t xml:space="preserve"> </w:t>
            </w:r>
          </w:p>
        </w:tc>
      </w:tr>
    </w:tbl>
    <w:p w:rsidR="001C0FFA">
      <w:bookmarkEnd w:id="2"/>
    </w:p>
    <w:p w:rsidR="001C0FFA"/>
    <w:sectPr w:rsidSect="00BC35E2">
      <w:headerReference w:type="even" r:id="rId4"/>
      <w:headerReference w:type="default" r:id="rId5"/>
      <w:footerReference w:type="even" r:id="rId6"/>
      <w:footerReference w:type="default" r:id="rId7"/>
      <w:headerReference w:type="first" r:id="rId8"/>
      <w:footerReference w:type="first" r:id="rId9"/>
      <w:type w:val="continuous"/>
      <w:pgSz w:w="16840" w:h="11907" w:orient="landscape" w:code="9"/>
      <w:pgMar w:top="1418" w:right="851" w:bottom="1418" w:left="851" w:header="851" w:footer="454" w:gutter="0"/>
      <w:pgNumType w:start="1"/>
      <w:cols w:space="708"/>
      <w:formProt w:val="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0000000000000000000"/>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A">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RISIKOER OG EKSTERNE FAKTORER</w:t>
          </w:r>
          <w:r>
            <w:rPr>
              <w:b/>
              <w:color w:val="000080"/>
            </w:rPr>
            <w:fldChar w:fldCharType="end"/>
          </w:r>
        </w:p>
      </w:tc>
      <w:tc>
        <w:tcPr>
          <w:tcW w:w="1968" w:type="dxa"/>
          <w:gridSpan w:val="2"/>
          <w:tcBorders>
            <w:bottom w:val="nil"/>
          </w:tcBorders>
        </w:tcPr>
        <w:p w:rsidR="001C0FFA">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1.2.22</w:t>
          </w:r>
          <w:r>
            <w:rPr>
              <w:sz w:val="20"/>
            </w:rPr>
            <w:fldChar w:fldCharType="end"/>
          </w:r>
        </w:p>
      </w:tc>
    </w:tr>
    <w:tr>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pPr>
            <w:spacing w:before="80"/>
            <w:rPr>
              <w:sz w:val="20"/>
            </w:rPr>
          </w:pPr>
        </w:p>
      </w:tc>
      <w:tc>
        <w:tcPr>
          <w:tcW w:w="1962" w:type="dxa"/>
          <w:tcBorders>
            <w:left w:val="nil"/>
            <w:bottom w:val="nil"/>
            <w:right w:val="nil"/>
          </w:tcBorders>
        </w:tcPr>
        <w:p w:rsidR="001C0FFA">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Pr>
              <w:sz w:val="20"/>
              <w:lang w:val="nb-NO" w:eastAsia="nb-NO" w:bidi="ar-SA"/>
            </w:rPr>
            <w:t>6</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6</w:t>
          </w:r>
          <w:r>
            <w:rPr>
              <w:sz w:val="20"/>
            </w:rPr>
            <w:fldChar w:fldCharType="end"/>
          </w:r>
        </w:p>
      </w:tc>
    </w:tr>
  </w:tbl>
  <w:p w:rsidR="001C0F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stylePaneFormatFilter w:val="3F01"/>
  <w:doNotTrackMoves/>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FFA"/>
    <w:rsid w:val="0000495A"/>
    <w:rsid w:val="00015CE9"/>
    <w:rsid w:val="000F3BF2"/>
    <w:rsid w:val="000F5215"/>
    <w:rsid w:val="001A500E"/>
    <w:rsid w:val="001C0FFA"/>
    <w:rsid w:val="00280477"/>
    <w:rsid w:val="003D4093"/>
    <w:rsid w:val="00415440"/>
    <w:rsid w:val="004C004D"/>
    <w:rsid w:val="004F400D"/>
    <w:rsid w:val="004F4EF0"/>
    <w:rsid w:val="005037FB"/>
    <w:rsid w:val="00540C8C"/>
    <w:rsid w:val="0056784F"/>
    <w:rsid w:val="00593ADB"/>
    <w:rsid w:val="005F7187"/>
    <w:rsid w:val="00602BD6"/>
    <w:rsid w:val="007B5E79"/>
    <w:rsid w:val="007C108F"/>
    <w:rsid w:val="00A34520"/>
    <w:rsid w:val="00B01848"/>
    <w:rsid w:val="00B34531"/>
    <w:rsid w:val="00B84574"/>
    <w:rsid w:val="00BB3F6B"/>
    <w:rsid w:val="00BC35E2"/>
    <w:rsid w:val="00BF75FB"/>
    <w:rsid w:val="00D176EB"/>
    <w:rsid w:val="00D70CD4"/>
    <w:rsid w:val="00E34F49"/>
    <w:rsid w:val="00EF70DF"/>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Raymond Wågø"/>
    <w:docVar w:name="ek_bedriftsnavn" w:val="TRØNDELAG HØYERE YRKESFAGSKOLE avd. TRONDHEIM"/>
    <w:docVar w:name="ek_dbfields" w:val="EK_Avdeling¤2#4¤2# ¤3#EK_Avsnitt¤2#4¤2# ¤3#EK_Bedriftsnavn¤2#1¤2#TRØNDELAG HØYERE YRKESFAGSKOLE avd. TRONDHEIM¤3#EK_GjelderFra¤2#0¤2#13.02.2021¤3#EK_Opprettet¤2#0¤2#09.01.2020¤3#EK_Utgitt¤2#0¤2#09.01.2020¤3#EK_IBrukDato¤2#0¤2#13.02.2021¤3#EK_DokumentID¤2#0¤2#D00134¤3#EK_DokTittel¤2#0¤2#RISIKOER OG EKSTERNE FAKTORER¤3#EK_DokType¤2#0¤2#Skjema¤3#EK_EksRef¤2#2¤2# 0 ¤3#EK_Erstatter¤2#0¤2#1.00¤3#EK_ErstatterD¤2#0¤2#09.01.2020¤3#EK_Signatur¤2#0¤2#EIWI¤3#EK_Verifisert¤2#0¤2# ¤3#EK_Hørt¤2#0¤2# ¤3#EK_AuditReview¤2#2¤2# ¤3#EK_AuditApprove¤2#2¤2# ¤3#EK_Gradering¤2#0¤2#Åpen¤3#EK_Gradnr¤2#4¤2#0¤3#EK_Kapittel¤2#4¤2# ¤3#EK_Referanse¤2#2¤2# 0 ¤3#EK_RefNr¤2#0¤2#TAB.2¤3#EK_Revisjon¤2#0¤2#1.01¤3#EK_Ansvarlig¤2#0¤2#Raymond Wågø¤3#EK_SkrevetAv¤2#0¤2#SØJS¤3#EK_UText1¤2#0¤2# ¤3#EK_UText2¤2#0¤2# ¤3#EK_UText3¤2#0¤2# ¤3#EK_UText4¤2#0¤2# ¤3#EK_Status¤2#0¤2#I bruk¤3#EK_Stikkord¤2#0¤2#¤3#EK_Rapport¤2#3¤2#¤3#EK_EKPrintMerke¤2#0¤2#Uoffisiell utskrift er kun gyldig på utskriftsdato¤3#EK_Watermark¤2#0¤2#¤3#EK_Utgave¤2#0¤2#1.01¤3#EK_Merknad¤2#7¤2#Endret skolenavn og ek ansvarlig&#13;&#10;Forlenget gyldighet til 13.02.2022¤3#EK_VerLogg¤2#2¤2# ¤3#EK_RF1¤2#4¤2# ¤3#EK_RF2¤2#4¤2# ¤3#EK_RF3¤2#4¤2# ¤3#EK_RF4¤2#4¤2# ¤3#EK_RF5¤2#4¤2# ¤3#EK_RF6¤2#4¤2# ¤3#EK_RF7¤2#4¤2# ¤3#EK_RF8¤2#4¤2# ¤3#EK_RF9¤2#4¤2# ¤3#EK_Mappe1¤2#4¤2# ¤3#EK_Mappe2¤2#4¤2# ¤3#EK_Mappe3¤2#4¤2# ¤3#EK_Mappe4¤2#4¤2# ¤3#EK_Mappe5¤2#4¤2# ¤3#EK_Mappe6¤2#4¤2# ¤3#EK_Mappe7¤2#4¤2# ¤3#EK_Mappe8¤2#4¤2# ¤3#EK_Mappe9¤2#4¤2# ¤3#EK_DL¤2#0¤2#2¤3#EK_GjelderTil¤2#0¤2#13.02.2022¤3#EK_Vedlegg¤2#2¤2# 0 ¤3#EK_AvdelingOver¤2#4¤2# ¤3#EK_HRefNr¤2#0¤2# ¤3#EK_HbNavn¤2#0¤2# ¤3#EK_DokRefnr¤2#4¤2#000203¤3#EK_Dokendrdato¤2#4¤2#12.02.2021 11:42:37¤3#EK_HbType¤2#4¤2# ¤3#EK_Offisiell¤2#4¤2# ¤3#EK_VedleggRef¤2#4¤2#TAB.2¤3#EK_Strukt00¤2#5¤2#¤5#¤5#KVALITETSYSTEM DEL B¤5#0¤5#0¤4#¤5#TAB¤5#TABELLER OG SKJEMAER¤5#0¤5#0¤4#\¤3#EK_Strukt01¤2#5¤2#¤3#EK_Pub¤2#6¤2#;15;¤3#EKR_DokType¤2#0¤2# ¤3#EKR_Doktittel¤2#0¤2# ¤3#EKR_DokumentID¤2#0¤2# ¤3#EKR_RefNr¤2#0¤2# ¤3#EKR_Gradering¤2#0¤2# ¤3#EKR_Signatur¤2#0¤2# ¤3#EKR_Verifisert¤2#0¤2# ¤3#EKR_Hørt¤2#0¤2# ¤3#EKR_Dokeier¤2#0¤2# ¤3#EKR_Status¤2#0¤2# ¤3#EKR_Opprettet¤2#0¤2# ¤3#EKR_Endret¤2#0¤2# ¤3#EKR_Ibruk¤2#0¤2# ¤3#EKR_Rapport¤2#3¤2# ¤3#EKR_Utgitt¤2#0¤2# ¤3#EKR_SkrevetAv¤2#0¤2# ¤3#EKR_UText1¤2#0¤2# ¤3#EKR_UText2¤2#0¤2# ¤3#EKR_UText3¤2#0¤2# ¤3#EKR_UText4¤2#0¤2# ¤3#EKR_DokRefnr¤2#4¤2# ¤3#EKR_Gradnr¤2#4¤2# ¤3#EKR_Strukt00¤2#5¤2#¤5#¤5#KVALITETSYSTEM DEL B¤5#0¤5#0¤4#¤5#TAB¤5#TABELLER OG SKJEMAER¤5#0¤5#0¤4#\¤3#"/>
    <w:docVar w:name="ek_dl" w:val="2"/>
    <w:docVar w:name="ek_doktittel" w:val="RISIKOER OG EKSTERNE FAKTORER"/>
    <w:docVar w:name="ek_doktype" w:val="Skjema"/>
    <w:docVar w:name="ek_dokumentid" w:val="D00134"/>
    <w:docVar w:name="ek_erstatter" w:val="1.00"/>
    <w:docVar w:name="ek_erstatterd" w:val="09.01.2020"/>
    <w:docVar w:name="ek_format" w:val="-2"/>
    <w:docVar w:name="ek_gjelderfra" w:val="13.02.2021"/>
    <w:docVar w:name="ek_gjeldertil" w:val="13.02.2022"/>
    <w:docVar w:name="ek_gradering" w:val="Åpen"/>
    <w:docVar w:name="ek_hbnavn" w:val=" "/>
    <w:docVar w:name="ek_hrefnr" w:val=" "/>
    <w:docVar w:name="ek_hørt" w:val=" "/>
    <w:docVar w:name="ek_ibrukdato" w:val="13.02.2021"/>
    <w:docVar w:name="ek_merknad" w:val="Endret skolenavn og ek ansvarlig&#13;&#10;Forlenget gyldighet til 13.02.2022"/>
    <w:docVar w:name="ek_opprettet" w:val="09.01.2020"/>
    <w:docVar w:name="ek_rapport" w:val="[]"/>
    <w:docVar w:name="ek_refnr" w:val="TAB.2"/>
    <w:docVar w:name="ek_revisjon" w:val="1.01"/>
    <w:docVar w:name="ek_signatur" w:val="EIWI"/>
    <w:docVar w:name="ek_skrevetav" w:val="SØJS"/>
    <w:docVar w:name="ek_status" w:val="I bruk"/>
    <w:docVar w:name="ek_stikkord" w:val="[]"/>
    <w:docVar w:name="EK_TYPE" w:val="DOK"/>
    <w:docVar w:name="ek_utext1" w:val=" "/>
    <w:docVar w:name="ek_utext2" w:val=" "/>
    <w:docVar w:name="ek_utext3" w:val=" "/>
    <w:docVar w:name="ek_utext4" w:val=" "/>
    <w:docVar w:name="ek_utgave" w:val="1.01"/>
    <w:docVar w:name="ek_utgitt" w:val="09.01.2020"/>
    <w:docVar w:name="ek_verifisert" w:val=" "/>
    <w:docVar w:name="Erstatter" w:val="lab_erstatter"/>
    <w:docVar w:name="KHB" w:val="UB"/>
    <w:docVar w:name="skitten" w:val="0"/>
    <w:docVar w:name="Tittel" w:val="Dette er en Test titte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bidi="ar-SA"/>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56784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Template>
  <TotalTime>0</TotalTime>
  <Pages>6</Pages>
  <Words>1590</Words>
  <Characters>9021</Characters>
  <Application>Microsoft Office Word</Application>
  <DocSecurity>0</DocSecurity>
  <Lines>360</Lines>
  <Paragraphs>153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RISIKOER OG EKSTERNE FAKTORER</vt:lpstr>
      <vt:lpstr>	</vt:lpstr>
    </vt:vector>
  </TitlesOfParts>
  <Company>Datakvalitet</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RISIKOER OG EKSTERNE FAKTORER</dc:title>
  <dc:subject>000203|TAB.2|</dc:subject>
  <dc:creator>Handbok</dc:creator>
  <dc:description>EK_Avdeling4 EK_Avsnitt4 EK_Bedriftsnavn1TRØNDELAG HØYERE YRKESFAGSKOLE avd. TRONDHEIMEK_GjelderFra013.02.2021EK_Opprettet009.01.2020EK_Utgitt009.01.2020EK_IBrukDato013.02.2021EK_DokumentID0D00134EK_DokTittel0RISIKOER OG EKSTERNE FAKTOREREK_DokType0SkjemaEK_EksRef2 0	EK_Erstatter01.00EK_ErstatterD009.01.2020EK_Signatur0EIWIEK_Verifisert0 EK_Hørt0 EK_AuditReview2 EK_AuditApprove2 EK_Gradering0ÅpenEK_Gradnr40EK_Kapittel4 EK_Referanse2 0	EK_RefNr0TAB.2EK_Revisjon01.01EK_Ansvarlig0Raymond WågøEK_SkrevetAv0SØJSEK_UText10 EK_UText20 EK_UText30 EK_UText40 EK_Status0I brukEK_Stikkord0EK_Rapport3EK_EKPrintMerke0Uoffisiell utskrift er kun gyldig på utskriftsdatoEK_Watermark0EK_Utgave01.01EK_Merknad7Endret skolenavn og ek ansvarlig
Forlenget gyldighet til 13.02.2022EK_VerLogg2 EK_RF14 EK_RF24 EK_RF34 EK_RF44 EK_RF54 EK_RF64 EK_RF74 EK_RF84 EK_RF94 EK_Mappe14 EK_Mappe24 EK_Mappe34 EK_Mappe44 EK_Mappe54 EK_Mappe64 EK_Mappe74 EK_Mappe84 EK_Mappe94 EK_DL02EK_GjelderTil013.02.2022EK_Vedlegg2 0	EK_AvdelingOver4 EK_HRefNr0 EK_HbNavn0 EK_DokRefnr4000203EK_Dokendrdato412.02.2021 11:42:37EK_HbType4 EK_Offisiell4 EK_VedleggRef4TAB.2EK_Strukt005KVALITETSYSTEM DEL B00TABTABELLER OG SKJEMAER00\EK_Strukt015EK_Pub6;15;EKR_DokType0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B00TABTABELLER OG SKJEMAER00\</dc:description>
  <cp:lastModifiedBy>Raymond Wågø</cp:lastModifiedBy>
  <cp:revision>2</cp:revision>
  <dcterms:created xsi:type="dcterms:W3CDTF">2021-02-13T15:59:00Z</dcterms:created>
  <dcterms:modified xsi:type="dcterms:W3CDTF">2021-02-13T15:59:00Z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RISIKOER OG EKSTERNE FAKTORER</vt:lpwstr>
  </property>
  <property fmtid="{D5CDD505-2E9C-101B-9397-08002B2CF9AE}" pid="4" name="EK_DokType">
    <vt:lpwstr>Revisjonsprogram for Havrommet THYF</vt:lpwstr>
  </property>
  <property fmtid="{D5CDD505-2E9C-101B-9397-08002B2CF9AE}" pid="5" name="EK_EKPrintMerke">
    <vt:lpwstr>Uoffisiell utskrift er kun gyldig på utskriftsdato</vt:lpwstr>
  </property>
  <property fmtid="{D5CDD505-2E9C-101B-9397-08002B2CF9AE}" pid="6" name="EK_GjelderFra">
    <vt:lpwstr>13.02.2021</vt:lpwstr>
  </property>
  <property fmtid="{D5CDD505-2E9C-101B-9397-08002B2CF9AE}" pid="7" name="EK_RefNr">
    <vt:lpwstr>1.2.22</vt:lpwstr>
  </property>
  <property fmtid="{D5CDD505-2E9C-101B-9397-08002B2CF9AE}" pid="8" name="EK_Signatur">
    <vt:lpwstr>EIWI</vt:lpwstr>
  </property>
  <property fmtid="{D5CDD505-2E9C-101B-9397-08002B2CF9AE}" pid="9" name="EK_SkrevetAv">
    <vt:lpwstr>SØJS</vt:lpwstr>
  </property>
  <property fmtid="{D5CDD505-2E9C-101B-9397-08002B2CF9AE}" pid="10" name="EK_Utgave">
    <vt:lpwstr>1.01</vt:lpwstr>
  </property>
  <property fmtid="{D5CDD505-2E9C-101B-9397-08002B2CF9AE}" pid="11" name="EK_Watermark">
    <vt:lpwstr/>
  </property>
</Properties>
</file>