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3.7.8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PROSESSOVERVÅKING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9.00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 w:rsidR="006E4108">
              <w:rPr>
                <w:sz w:val="20"/>
              </w:rPr>
              <w:t>SØJS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13.08.2021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P="0013420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D21C9F">
              <w:rPr>
                <w:sz w:val="20"/>
              </w:rPr>
              <w:t>4</w:t>
            </w:r>
          </w:p>
        </w:tc>
      </w:tr>
    </w:tbl>
    <w:p w:rsidR="001C0FFA"/>
    <w:p w:rsidR="0041177D"/>
    <w:p w:rsidR="00D21C9F" w:rsidP="00D21C9F">
      <w:pPr>
        <w:rPr>
          <w:b/>
        </w:rPr>
      </w:pPr>
      <w:r>
        <w:rPr>
          <w:b/>
        </w:rPr>
        <w:t>1.   Formål og omfang</w:t>
      </w:r>
    </w:p>
    <w:p w:rsidR="00D21C9F" w:rsidP="00D21C9F">
      <w:pPr>
        <w:ind w:left="426" w:hanging="66"/>
      </w:pPr>
      <w:r>
        <w:t xml:space="preserve">Målsetningen er å sikre at alle ansatte ved </w:t>
      </w:r>
      <w:r w:rsidR="00A160D9">
        <w:t xml:space="preserve">Trøndelag høyere yrkesfagskole avd. Trondheim (THYF Trondheim) </w:t>
      </w:r>
      <w:r>
        <w:t>sammen med KS-ansvarlig</w:t>
      </w:r>
    </w:p>
    <w:p w:rsidR="00D21C9F" w:rsidP="00D21C9F">
      <w:pPr>
        <w:ind w:left="1410" w:hanging="1050"/>
        <w:rPr>
          <w:rFonts w:eastAsia="Calibri"/>
          <w:szCs w:val="24"/>
          <w:lang w:eastAsia="en-US"/>
        </w:rPr>
      </w:pPr>
      <w:r>
        <w:t xml:space="preserve">foretar dokumentert prosessovervåking av skolens aktiviteter. </w:t>
      </w:r>
      <w:r w:rsidRPr="00574FC1">
        <w:rPr>
          <w:rFonts w:eastAsia="Calibri"/>
          <w:szCs w:val="24"/>
          <w:lang w:eastAsia="en-US"/>
        </w:rPr>
        <w:t>Ha oversikt over</w:t>
      </w:r>
    </w:p>
    <w:p w:rsidR="00D21C9F" w:rsidP="00D21C9F">
      <w:pPr>
        <w:ind w:left="360"/>
        <w:rPr>
          <w:rFonts w:eastAsia="Calibri"/>
          <w:szCs w:val="24"/>
          <w:lang w:eastAsia="en-US"/>
        </w:rPr>
      </w:pPr>
      <w:r w:rsidRPr="00574FC1">
        <w:rPr>
          <w:rFonts w:eastAsia="Calibri"/>
          <w:szCs w:val="24"/>
          <w:lang w:eastAsia="en-US"/>
        </w:rPr>
        <w:t>informasjon</w:t>
      </w:r>
      <w:r>
        <w:rPr>
          <w:rFonts w:eastAsia="Calibri"/>
          <w:szCs w:val="24"/>
          <w:lang w:eastAsia="en-US"/>
        </w:rPr>
        <w:t xml:space="preserve"> </w:t>
      </w:r>
      <w:r w:rsidRPr="00574FC1">
        <w:rPr>
          <w:rFonts w:eastAsia="Calibri"/>
          <w:szCs w:val="24"/>
          <w:lang w:eastAsia="en-US"/>
        </w:rPr>
        <w:t>som demonstrerer prosesskontroll for å kunne forutsi problemer og iverksette</w:t>
      </w:r>
      <w:r>
        <w:rPr>
          <w:rFonts w:eastAsia="Calibri"/>
          <w:szCs w:val="24"/>
          <w:lang w:eastAsia="en-US"/>
        </w:rPr>
        <w:t xml:space="preserve"> </w:t>
      </w:r>
      <w:r w:rsidRPr="00574FC1">
        <w:rPr>
          <w:rFonts w:eastAsia="Calibri"/>
          <w:szCs w:val="24"/>
          <w:lang w:eastAsia="en-US"/>
        </w:rPr>
        <w:t>tiltak som påvirker den generelle kvaliteten på aktiviteter.</w:t>
      </w:r>
    </w:p>
    <w:p w:rsidR="00D21C9F" w:rsidRPr="00997238" w:rsidP="00D21C9F">
      <w:pPr>
        <w:ind w:left="360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>Dette gjelder a</w:t>
      </w:r>
      <w:r w:rsidRPr="00997238">
        <w:rPr>
          <w:rFonts w:eastAsia="Calibri"/>
          <w:szCs w:val="24"/>
          <w:lang w:eastAsia="en-US"/>
        </w:rPr>
        <w:t>lle aktiviteter/tjenester som tilbys.</w:t>
      </w:r>
    </w:p>
    <w:p w:rsidR="00D21C9F" w:rsidP="00D21C9F"/>
    <w:p w:rsidR="00D21C9F" w:rsidP="00D21C9F">
      <w:pPr>
        <w:rPr>
          <w:b/>
        </w:rPr>
      </w:pPr>
      <w:r>
        <w:rPr>
          <w:b/>
        </w:rPr>
        <w:t>2.   Målgruppe</w:t>
      </w:r>
    </w:p>
    <w:p w:rsidR="00D21C9F" w:rsidP="00D21C9F">
      <w:pPr>
        <w:ind w:left="426" w:hanging="66"/>
      </w:pPr>
      <w:r>
        <w:t xml:space="preserve">Lederteamet ved </w:t>
      </w:r>
      <w:r w:rsidR="00A160D9">
        <w:t>THYF</w:t>
      </w:r>
      <w:r>
        <w:t>, KS-ansvarlig og alle ansatte.</w:t>
      </w:r>
    </w:p>
    <w:p w:rsidR="00D21C9F" w:rsidP="00D21C9F"/>
    <w:p w:rsidR="00D21C9F" w:rsidP="00D21C9F">
      <w:pPr>
        <w:rPr>
          <w:b/>
        </w:rPr>
      </w:pPr>
      <w:r>
        <w:rPr>
          <w:b/>
        </w:rPr>
        <w:t xml:space="preserve">3.   Beskrivelse: </w:t>
      </w:r>
      <w:r w:rsidRPr="00997238">
        <w:rPr>
          <w:rFonts w:eastAsia="Calibri"/>
          <w:b/>
          <w:szCs w:val="24"/>
          <w:lang w:eastAsia="en-US"/>
        </w:rPr>
        <w:t>Informasjon som demonstrerer prosesskontroll:</w:t>
      </w:r>
    </w:p>
    <w:p w:rsidR="00D21C9F" w:rsidP="00D21C9F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:rsidR="00D21C9F" w:rsidRPr="00997238" w:rsidP="00D21C9F">
      <w:pPr>
        <w:spacing w:line="276" w:lineRule="auto"/>
        <w:ind w:left="284"/>
        <w:rPr>
          <w:rFonts w:eastAsia="Calibri"/>
          <w:b/>
          <w:bCs/>
          <w:szCs w:val="24"/>
          <w:lang w:eastAsia="en-US"/>
        </w:rPr>
      </w:pPr>
      <w:r w:rsidRPr="00997238">
        <w:rPr>
          <w:rFonts w:eastAsia="Calibri"/>
          <w:b/>
          <w:bCs/>
          <w:szCs w:val="24"/>
          <w:lang w:eastAsia="en-US"/>
        </w:rPr>
        <w:t>Tjenester som tilbys:</w:t>
      </w:r>
    </w:p>
    <w:p w:rsidR="00D21C9F" w:rsidRPr="00997238" w:rsidP="00D21C9F">
      <w:pPr>
        <w:spacing w:line="276" w:lineRule="auto"/>
        <w:ind w:left="284"/>
        <w:rPr>
          <w:rFonts w:eastAsia="Calibri"/>
          <w:bCs/>
          <w:szCs w:val="24"/>
          <w:lang w:eastAsia="en-US"/>
        </w:rPr>
      </w:pPr>
      <w:r w:rsidR="00A160D9">
        <w:rPr>
          <w:rFonts w:eastAsia="Calibri"/>
          <w:bCs/>
          <w:szCs w:val="24"/>
          <w:lang w:eastAsia="en-US"/>
        </w:rPr>
        <w:t>THYF Trondheim</w:t>
      </w:r>
      <w:r w:rsidRPr="00997238">
        <w:rPr>
          <w:rFonts w:eastAsia="Calibri"/>
          <w:bCs/>
          <w:szCs w:val="24"/>
          <w:lang w:eastAsia="en-US"/>
        </w:rPr>
        <w:t xml:space="preserve"> har skipsoffisersutdanning. Både dekk og maskin. Kvalitet</w:t>
      </w:r>
      <w:r>
        <w:rPr>
          <w:rFonts w:eastAsia="Calibri"/>
          <w:bCs/>
          <w:szCs w:val="24"/>
          <w:lang w:eastAsia="en-US"/>
        </w:rPr>
        <w:t>ssystemet</w:t>
      </w:r>
      <w:r w:rsidRPr="00997238">
        <w:rPr>
          <w:rFonts w:eastAsia="Calibri"/>
          <w:bCs/>
          <w:szCs w:val="24"/>
          <w:lang w:eastAsia="en-US"/>
        </w:rPr>
        <w:t xml:space="preserve"> beskriver de forskjellige godkjenningene og sammenhengen med Sjøfartsdirektoratets krav og DNVGL.</w:t>
      </w:r>
    </w:p>
    <w:p w:rsidR="00627AAF" w:rsidP="00D21C9F"/>
    <w:p w:rsidR="00627AAF" w:rsidP="00D21C9F">
      <w:p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formProt w:val="0"/>
          <w:titlePg/>
        </w:sectPr>
      </w:pPr>
    </w:p>
    <w:p w:rsidR="00627AAF" w:rsidP="00627A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75pt;height:492.5pt" o:preferrelative="f" stroked="f">
            <v:imagedata r:id="rId11" o:title=""/>
            <o:lock v:ext="edit" aspectratio="f"/>
          </v:shape>
        </w:pict>
      </w:r>
    </w:p>
    <w:p w:rsidR="00627AAF" w:rsidP="00D21C9F">
      <w:pPr>
        <w:sectPr w:rsidSect="00627AAF">
          <w:type w:val="continuous"/>
          <w:pgSz w:w="16840" w:h="11907" w:orient="landscape" w:code="9"/>
          <w:pgMar w:top="1418" w:right="851" w:bottom="1418" w:left="851" w:header="851" w:footer="454" w:gutter="0"/>
          <w:pgNumType w:start="1"/>
          <w:cols w:space="708"/>
          <w:formProt w:val="0"/>
          <w:titlePg/>
        </w:sectPr>
      </w:pPr>
    </w:p>
    <w:p w:rsidR="00627AAF" w:rsidP="00D21C9F"/>
    <w:p w:rsidR="00D21C9F" w:rsidP="00D21C9F"/>
    <w:p w:rsidR="00D21C9F" w:rsidP="00D21C9F">
      <w:pPr>
        <w:numPr>
          <w:ilvl w:val="1"/>
          <w:numId w:val="1"/>
        </w:numPr>
        <w:rPr>
          <w:b/>
        </w:rPr>
      </w:pPr>
      <w:r>
        <w:rPr>
          <w:b/>
        </w:rPr>
        <w:t>Prosessovervåkning dokumenteres gjennom:</w:t>
      </w:r>
    </w:p>
    <w:p w:rsidR="00D21C9F" w:rsidP="00D21C9F">
      <w:pPr>
        <w:ind w:left="720"/>
        <w:rPr>
          <w:b/>
        </w:rPr>
      </w:pPr>
    </w:p>
    <w:p w:rsidR="00D21C9F" w:rsidP="00D21C9F">
      <w:pPr>
        <w:numPr>
          <w:ilvl w:val="0"/>
          <w:numId w:val="3"/>
        </w:numPr>
      </w:pPr>
      <w:r>
        <w:t>Internrevisjoner (gjennomføres hvert år)</w:t>
      </w:r>
    </w:p>
    <w:p w:rsidR="00D21C9F" w:rsidP="00D21C9F">
      <w:pPr>
        <w:numPr>
          <w:ilvl w:val="0"/>
          <w:numId w:val="3"/>
        </w:numPr>
      </w:pPr>
      <w:r>
        <w:t>Ledelsens gjennomgang av KS-systemet (gjennomføres hvert år)</w:t>
      </w:r>
    </w:p>
    <w:p w:rsidR="00D21C9F" w:rsidP="00D21C9F">
      <w:pPr>
        <w:numPr>
          <w:ilvl w:val="0"/>
          <w:numId w:val="3"/>
        </w:numPr>
      </w:pPr>
      <w:r>
        <w:t xml:space="preserve">Eksterne revisjoner utført av DNV-GL </w:t>
      </w:r>
      <w:bookmarkStart w:id="1" w:name="_Hlk29379851"/>
      <w:r>
        <w:t>(gjennomføres hvert år)</w:t>
      </w:r>
    </w:p>
    <w:p w:rsidR="00D21C9F" w:rsidP="00D21C9F">
      <w:pPr>
        <w:numPr>
          <w:ilvl w:val="0"/>
          <w:numId w:val="3"/>
        </w:numPr>
      </w:pPr>
      <w:bookmarkEnd w:id="1"/>
      <w:r>
        <w:t>Eksterne revisjoner utført av Sjøfartdirektoratet (gjennomføres hvert femte år)</w:t>
      </w:r>
    </w:p>
    <w:p w:rsidR="00D21C9F" w:rsidP="00D21C9F">
      <w:pPr>
        <w:numPr>
          <w:ilvl w:val="0"/>
          <w:numId w:val="3"/>
        </w:numPr>
      </w:pPr>
      <w:r>
        <w:t>Eksterne revisjoner utført av Telenor radioinspeksjonen (gjennomføres hvert femte år)</w:t>
      </w:r>
    </w:p>
    <w:p w:rsidR="00D21C9F" w:rsidP="00D21C9F">
      <w:pPr>
        <w:numPr>
          <w:ilvl w:val="0"/>
          <w:numId w:val="3"/>
        </w:numPr>
      </w:pPr>
      <w:r>
        <w:t>Medarbeiderundersøkelser (gjennomføres etter eget ønske)</w:t>
      </w:r>
    </w:p>
    <w:p w:rsidR="00D21C9F" w:rsidP="00D21C9F">
      <w:pPr>
        <w:numPr>
          <w:ilvl w:val="0"/>
          <w:numId w:val="3"/>
        </w:numPr>
      </w:pPr>
      <w:r>
        <w:t>Studiebarometer/Studentundersøkelser (gjennomføres hvert år)</w:t>
      </w:r>
    </w:p>
    <w:p w:rsidR="00D21C9F" w:rsidP="00D21C9F">
      <w:pPr>
        <w:numPr>
          <w:ilvl w:val="0"/>
          <w:numId w:val="3"/>
        </w:numPr>
      </w:pPr>
      <w:r>
        <w:t>Styret for de fylkeskommunale fagskolene i Trøndelag (periodiske møter)</w:t>
      </w:r>
    </w:p>
    <w:p w:rsidR="00D21C9F" w:rsidP="00D21C9F">
      <w:pPr>
        <w:numPr>
          <w:ilvl w:val="0"/>
          <w:numId w:val="3"/>
        </w:numPr>
      </w:pPr>
      <w:r>
        <w:t xml:space="preserve">Studentrådet for </w:t>
      </w:r>
      <w:r w:rsidR="00A160D9">
        <w:t>THYF Trondheim</w:t>
      </w:r>
      <w:r>
        <w:t xml:space="preserve"> </w:t>
      </w:r>
      <w:bookmarkStart w:id="2" w:name="_Hlk29380106"/>
      <w:r>
        <w:t>(periodiske møter)</w:t>
      </w:r>
      <w:bookmarkEnd w:id="2"/>
    </w:p>
    <w:p w:rsidR="00D21C9F" w:rsidP="00D21C9F">
      <w:pPr>
        <w:numPr>
          <w:ilvl w:val="0"/>
          <w:numId w:val="3"/>
        </w:numPr>
      </w:pPr>
      <w:r>
        <w:t>Tillitsvalgte for dekksoffiser og maskinoffiserer (periodiske møter)</w:t>
      </w:r>
    </w:p>
    <w:p w:rsidR="00D21C9F" w:rsidP="00D21C9F">
      <w:pPr>
        <w:numPr>
          <w:ilvl w:val="0"/>
          <w:numId w:val="3"/>
        </w:numPr>
      </w:pPr>
      <w:r>
        <w:t>Daglig dialog og tilbakemeldinger fra studentene</w:t>
      </w:r>
    </w:p>
    <w:p w:rsidR="00D21C9F" w:rsidP="00D21C9F">
      <w:pPr>
        <w:numPr>
          <w:ilvl w:val="0"/>
          <w:numId w:val="3"/>
        </w:numPr>
      </w:pPr>
      <w:r>
        <w:t>Avdelingsmøter/fellesmøter (periodiske møter)</w:t>
      </w:r>
    </w:p>
    <w:p w:rsidR="00D21C9F" w:rsidP="00D21C9F">
      <w:pPr>
        <w:numPr>
          <w:ilvl w:val="0"/>
          <w:numId w:val="3"/>
        </w:numPr>
      </w:pPr>
      <w:r>
        <w:t>Linjevise lærermøter (periodiske møter)</w:t>
      </w:r>
    </w:p>
    <w:p w:rsidR="00D21C9F" w:rsidP="00D21C9F">
      <w:pPr>
        <w:numPr>
          <w:ilvl w:val="0"/>
          <w:numId w:val="3"/>
        </w:numPr>
      </w:pPr>
      <w:r>
        <w:t>Emneplangjennomføring og oppfølging gjennom fremdriftsplaner med referanse til siste versjon av emneplanene (gjennomføres kontinuerlig)</w:t>
      </w:r>
    </w:p>
    <w:p w:rsidR="00D21C9F" w:rsidP="00D21C9F">
      <w:pPr>
        <w:numPr>
          <w:ilvl w:val="0"/>
          <w:numId w:val="3"/>
        </w:numPr>
      </w:pPr>
      <w:r>
        <w:t>Kontinuerlig gjennomganger</w:t>
      </w:r>
    </w:p>
    <w:p w:rsidR="00D21C9F" w:rsidP="00D21C9F">
      <w:pPr>
        <w:numPr>
          <w:ilvl w:val="0"/>
          <w:numId w:val="3"/>
        </w:numPr>
      </w:pPr>
      <w:r>
        <w:t>Kompetanse til instruktørene (gjennomføres hvert år)</w:t>
      </w:r>
    </w:p>
    <w:p w:rsidR="00D21C9F" w:rsidP="00D21C9F">
      <w:pPr>
        <w:numPr>
          <w:ilvl w:val="0"/>
          <w:numId w:val="3"/>
        </w:numPr>
      </w:pPr>
      <w:r>
        <w:t>Studiekrav (gjennomføres kontinuerlig)</w:t>
      </w:r>
    </w:p>
    <w:p w:rsidR="00D21C9F" w:rsidP="00D21C9F">
      <w:pPr>
        <w:numPr>
          <w:ilvl w:val="0"/>
          <w:numId w:val="3"/>
        </w:numPr>
      </w:pPr>
      <w:r>
        <w:t>Resultater/evaluering fra tester (gjennomføres kontinuerlig)</w:t>
      </w:r>
    </w:p>
    <w:p w:rsidR="00D21C9F" w:rsidP="00D21C9F">
      <w:pPr>
        <w:ind w:left="720"/>
      </w:pPr>
    </w:p>
    <w:p w:rsidR="00D21C9F" w:rsidP="00D21C9F">
      <w:pPr>
        <w:ind w:left="360"/>
        <w:rPr>
          <w:b/>
          <w:color w:val="002060"/>
        </w:rPr>
      </w:pPr>
      <w:r>
        <w:t xml:space="preserve">For øvrig overvåkes prosessene gjennom årlige lærerkonferanser, eksamenssamlinger og samarbeidsavtaler mellom skolene og </w:t>
      </w:r>
      <w:r w:rsidRPr="00134207">
        <w:rPr>
          <w:b/>
          <w:color w:val="002060"/>
        </w:rPr>
        <w:t>«</w:t>
      </w:r>
      <w:r>
        <w:rPr>
          <w:b/>
          <w:color w:val="002060"/>
        </w:rPr>
        <w:t>F</w:t>
      </w:r>
      <w:r w:rsidRPr="00134207">
        <w:rPr>
          <w:b/>
          <w:color w:val="002060"/>
        </w:rPr>
        <w:t>elles dokumentstyringssystem for maritim utdanning i Norge»</w:t>
      </w:r>
      <w:r>
        <w:rPr>
          <w:b/>
          <w:color w:val="002060"/>
        </w:rPr>
        <w:t>.</w:t>
      </w: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 xml:space="preserve">Når det gjelder kravene til innhold og krav i den enkelte studieretningen (for studenter og lærere) vises til </w:t>
      </w:r>
      <w:r>
        <w:rPr>
          <w:rFonts w:eastAsia="Calibri"/>
          <w:bCs/>
          <w:szCs w:val="24"/>
          <w:lang w:eastAsia="en-US"/>
        </w:rPr>
        <w:t>emneplanene</w:t>
      </w:r>
      <w:r w:rsidRPr="002A2627">
        <w:rPr>
          <w:rFonts w:eastAsia="Calibri"/>
          <w:bCs/>
          <w:szCs w:val="24"/>
          <w:lang w:eastAsia="en-US"/>
        </w:rPr>
        <w:t xml:space="preserve"> som er godkjent av både NOKUT og Sjøfartsdirektoratet til enhver tid. </w:t>
      </w:r>
    </w:p>
    <w:p w:rsidR="00D21C9F" w:rsidRPr="00E54051" w:rsidP="00D21C9F">
      <w:pPr>
        <w:ind w:left="360"/>
        <w:rPr>
          <w:b/>
          <w:color w:val="002060"/>
          <w:szCs w:val="24"/>
        </w:rPr>
      </w:pP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  <w:r w:rsidRPr="002A2627">
        <w:rPr>
          <w:b/>
          <w:szCs w:val="24"/>
        </w:rPr>
        <w:t>De forskjellige undersøkelsene</w:t>
      </w:r>
      <w:r w:rsidRPr="002A2627">
        <w:rPr>
          <w:szCs w:val="24"/>
        </w:rPr>
        <w:t xml:space="preserve"> som gjøres årlig sammenlignes fra år til år og nødvendige tiltak settes i verk om en ser det er avvikende resultater. Oppsummering av undersøkelsene med tiltaksplan og ansvar </w:t>
      </w:r>
      <w:r>
        <w:rPr>
          <w:szCs w:val="24"/>
        </w:rPr>
        <w:t>tas opp på fellesmøtene</w:t>
      </w:r>
      <w:r w:rsidRPr="002A2627">
        <w:rPr>
          <w:szCs w:val="24"/>
        </w:rPr>
        <w:t>.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 w:rsidRPr="002A2627">
        <w:rPr>
          <w:b/>
          <w:szCs w:val="24"/>
        </w:rPr>
        <w:t>Revisjoner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  <w:r w:rsidRPr="002A2627">
        <w:rPr>
          <w:szCs w:val="24"/>
        </w:rPr>
        <w:t xml:space="preserve">Beskrevet i egne prosedyrer og </w:t>
      </w:r>
      <w:r>
        <w:rPr>
          <w:szCs w:val="24"/>
        </w:rPr>
        <w:t xml:space="preserve">i </w:t>
      </w:r>
      <w:r w:rsidRPr="002A2627">
        <w:rPr>
          <w:szCs w:val="24"/>
        </w:rPr>
        <w:t>revisjonsplan.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>
        <w:rPr>
          <w:b/>
          <w:szCs w:val="24"/>
        </w:rPr>
        <w:t>L</w:t>
      </w:r>
      <w:r w:rsidRPr="002A2627">
        <w:rPr>
          <w:b/>
          <w:szCs w:val="24"/>
        </w:rPr>
        <w:t>edelsens gjennomgang</w:t>
      </w:r>
      <w:r>
        <w:rPr>
          <w:b/>
          <w:szCs w:val="24"/>
        </w:rPr>
        <w:t xml:space="preserve"> og periodisk gjennomgang </w:t>
      </w:r>
    </w:p>
    <w:p w:rsidR="00D21C9F" w:rsidP="00D21C9F">
      <w:pPr>
        <w:tabs>
          <w:tab w:val="left" w:pos="708"/>
        </w:tabs>
        <w:contextualSpacing/>
        <w:rPr>
          <w:szCs w:val="24"/>
        </w:rPr>
      </w:pPr>
      <w:r>
        <w:rPr>
          <w:szCs w:val="24"/>
        </w:rPr>
        <w:t>L</w:t>
      </w:r>
      <w:r w:rsidRPr="002A2627">
        <w:rPr>
          <w:szCs w:val="24"/>
        </w:rPr>
        <w:t>edelsens gjennomgang</w:t>
      </w:r>
      <w:r>
        <w:rPr>
          <w:szCs w:val="24"/>
        </w:rPr>
        <w:t xml:space="preserve"> og periodisk gjennomgang</w:t>
      </w:r>
      <w:r w:rsidRPr="002A2627">
        <w:rPr>
          <w:szCs w:val="24"/>
        </w:rPr>
        <w:t xml:space="preserve"> </w:t>
      </w:r>
      <w:r>
        <w:rPr>
          <w:szCs w:val="24"/>
        </w:rPr>
        <w:t>gjennomføres forskjellig</w:t>
      </w:r>
      <w:r w:rsidRPr="002A2627">
        <w:rPr>
          <w:szCs w:val="24"/>
        </w:rPr>
        <w:t>. Forskjellen er at ledelsens gjennomgang er litt mer overordnet og utarbeides en gang i året</w:t>
      </w:r>
      <w:r>
        <w:rPr>
          <w:szCs w:val="24"/>
        </w:rPr>
        <w:t xml:space="preserve"> med utgangspunkt i årsrapporten</w:t>
      </w:r>
      <w:r w:rsidRPr="002A2627">
        <w:rPr>
          <w:szCs w:val="24"/>
        </w:rPr>
        <w:t xml:space="preserve">. </w:t>
      </w:r>
      <w:r>
        <w:rPr>
          <w:szCs w:val="24"/>
        </w:rPr>
        <w:t>P</w:t>
      </w:r>
      <w:r w:rsidRPr="002A2627">
        <w:rPr>
          <w:szCs w:val="24"/>
        </w:rPr>
        <w:t xml:space="preserve">eriodiske </w:t>
      </w:r>
      <w:r>
        <w:rPr>
          <w:szCs w:val="24"/>
        </w:rPr>
        <w:t xml:space="preserve">gjennomgang gjennomføres fortløpende gjennom hele året og omfatter delprosesser i kvalitetssystemet, der </w:t>
      </w:r>
      <w:r w:rsidRPr="002A2627">
        <w:rPr>
          <w:szCs w:val="24"/>
        </w:rPr>
        <w:t xml:space="preserve">alle ansatte </w:t>
      </w:r>
      <w:r>
        <w:rPr>
          <w:szCs w:val="24"/>
        </w:rPr>
        <w:t xml:space="preserve">og </w:t>
      </w:r>
      <w:r w:rsidRPr="002A2627">
        <w:rPr>
          <w:szCs w:val="24"/>
        </w:rPr>
        <w:t>tillitsvalgte kan delta og komme med forslag og vurderinger.</w:t>
      </w:r>
      <w:r>
        <w:rPr>
          <w:szCs w:val="24"/>
        </w:rPr>
        <w:t xml:space="preserve"> Linjemøtene brukes til periodisk gjennomgang.</w:t>
      </w: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 w:rsidRPr="002A2627">
        <w:rPr>
          <w:b/>
          <w:szCs w:val="24"/>
        </w:rPr>
        <w:t>Fremdrifts- og prøveplaner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  <w:r w:rsidRPr="002A2627">
        <w:rPr>
          <w:szCs w:val="24"/>
        </w:rPr>
        <w:t xml:space="preserve">Faglærerne skal sørge for å lage fremdrifts og prøveplaner som dekker alle krav til innholdet i den utdanningen som gis. </w:t>
      </w:r>
      <w:r>
        <w:rPr>
          <w:szCs w:val="24"/>
        </w:rPr>
        <w:t>Fagansvarlig</w:t>
      </w:r>
      <w:r w:rsidRPr="002A2627">
        <w:rPr>
          <w:szCs w:val="24"/>
        </w:rPr>
        <w:t xml:space="preserve"> skal godkjenne plane</w:t>
      </w:r>
      <w:r>
        <w:rPr>
          <w:szCs w:val="24"/>
        </w:rPr>
        <w:t>n</w:t>
      </w:r>
      <w:r w:rsidRPr="002A2627">
        <w:rPr>
          <w:szCs w:val="24"/>
        </w:rPr>
        <w:t xml:space="preserve">. Om det devieres fra planene, skal det tas opp på </w:t>
      </w:r>
      <w:r>
        <w:rPr>
          <w:szCs w:val="24"/>
        </w:rPr>
        <w:t>linjemøtene</w:t>
      </w:r>
      <w:r w:rsidRPr="002A2627">
        <w:rPr>
          <w:szCs w:val="24"/>
        </w:rPr>
        <w:t>. Nye oppdaterte planer skal godkjennes for å sikre læringsutbyttet. Det skal aldri godkjennes at noe tas ut, kun eventuelle justeringer.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 w:rsidRPr="002A2627">
        <w:rPr>
          <w:b/>
          <w:szCs w:val="24"/>
        </w:rPr>
        <w:t xml:space="preserve">Resultater underveis (studenter) 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  <w:r w:rsidRPr="002A2627">
        <w:rPr>
          <w:szCs w:val="24"/>
        </w:rPr>
        <w:t>Faglærere skal kontinuerlig føre resultater på alle sine studenter. Karakterer</w:t>
      </w:r>
      <w:r>
        <w:rPr>
          <w:szCs w:val="24"/>
        </w:rPr>
        <w:t>, fullført/ikke fullført på prøver og studiekrav</w:t>
      </w:r>
      <w:r w:rsidRPr="002A2627">
        <w:rPr>
          <w:szCs w:val="24"/>
        </w:rPr>
        <w:t xml:space="preserve"> skal føres </w:t>
      </w:r>
      <w:r>
        <w:rPr>
          <w:szCs w:val="24"/>
        </w:rPr>
        <w:t>i Canvas under vurderinger. Grunnlag for karakteren/vurderingen føres i kommentarfeltet.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  <w:r>
        <w:rPr>
          <w:szCs w:val="24"/>
        </w:rPr>
        <w:t>Avvik eller</w:t>
      </w:r>
      <w:r w:rsidRPr="002A2627">
        <w:rPr>
          <w:szCs w:val="24"/>
        </w:rPr>
        <w:t xml:space="preserve"> endringer som har betydning for </w:t>
      </w:r>
      <w:r>
        <w:rPr>
          <w:szCs w:val="24"/>
        </w:rPr>
        <w:t xml:space="preserve">studentens </w:t>
      </w:r>
      <w:r w:rsidRPr="002A2627">
        <w:rPr>
          <w:szCs w:val="24"/>
        </w:rPr>
        <w:t xml:space="preserve">studieløp </w:t>
      </w:r>
      <w:r>
        <w:rPr>
          <w:szCs w:val="24"/>
        </w:rPr>
        <w:t>drøftes på linjemøtene og nødvendige tiltak skal iverksettes.</w:t>
      </w:r>
    </w:p>
    <w:p w:rsidR="00D21C9F" w:rsidRPr="002A2627" w:rsidP="00D21C9F">
      <w:pPr>
        <w:tabs>
          <w:tab w:val="left" w:pos="708"/>
        </w:tabs>
        <w:contextualSpacing/>
        <w:rPr>
          <w:szCs w:val="24"/>
        </w:rPr>
      </w:pP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 w:rsidRPr="002A2627">
        <w:rPr>
          <w:b/>
          <w:szCs w:val="24"/>
        </w:rPr>
        <w:t>Kompetanse</w:t>
      </w:r>
    </w:p>
    <w:p w:rsidR="00D21C9F" w:rsidP="00D21C9F">
      <w:pPr>
        <w:tabs>
          <w:tab w:val="left" w:pos="708"/>
        </w:tabs>
        <w:contextualSpacing/>
        <w:rPr>
          <w:szCs w:val="24"/>
        </w:rPr>
      </w:pPr>
      <w:r w:rsidR="00A160D9">
        <w:rPr>
          <w:szCs w:val="24"/>
        </w:rPr>
        <w:t>THYF</w:t>
      </w:r>
      <w:r w:rsidRPr="002A2627">
        <w:rPr>
          <w:szCs w:val="24"/>
        </w:rPr>
        <w:t xml:space="preserve"> er underlagt fagskoleloven og Sjøfartsdirektoratets krav til kompetanse for faglærerne.</w:t>
      </w:r>
      <w:r>
        <w:rPr>
          <w:szCs w:val="24"/>
        </w:rPr>
        <w:t xml:space="preserve"> </w:t>
      </w:r>
      <w:r w:rsidRPr="002A2627">
        <w:rPr>
          <w:szCs w:val="24"/>
        </w:rPr>
        <w:t>Egen kompetansematrise skal holdes og oppdater</w:t>
      </w:r>
      <w:r>
        <w:rPr>
          <w:szCs w:val="24"/>
        </w:rPr>
        <w:t>t</w:t>
      </w:r>
      <w:r w:rsidRPr="002A2627">
        <w:rPr>
          <w:szCs w:val="24"/>
        </w:rPr>
        <w:t xml:space="preserve"> til enhver tid. Den skal inneholde både </w:t>
      </w:r>
      <w:r>
        <w:rPr>
          <w:szCs w:val="24"/>
        </w:rPr>
        <w:t>lærerens utdanning, kompetanse og utløpsdato på sertifikatene for dem. Dersom det er nødvendig med kompetanseheving skal dette dokumenteres i utviklingsplan.</w:t>
      </w: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 w:rsidRPr="002A2627">
        <w:rPr>
          <w:b/>
          <w:szCs w:val="24"/>
        </w:rPr>
        <w:t xml:space="preserve"> </w:t>
      </w:r>
    </w:p>
    <w:p w:rsidR="00D21C9F" w:rsidRPr="002A2627" w:rsidP="00D21C9F">
      <w:pPr>
        <w:tabs>
          <w:tab w:val="left" w:pos="708"/>
        </w:tabs>
        <w:contextualSpacing/>
        <w:rPr>
          <w:b/>
          <w:szCs w:val="24"/>
        </w:rPr>
      </w:pPr>
      <w:r w:rsidRPr="002A2627">
        <w:rPr>
          <w:b/>
          <w:szCs w:val="24"/>
        </w:rPr>
        <w:t>Planlegging av året</w:t>
      </w: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  <w:r w:rsidR="00A160D9">
        <w:rPr>
          <w:rFonts w:eastAsia="Calibri"/>
          <w:bCs/>
          <w:szCs w:val="24"/>
          <w:lang w:eastAsia="en-US"/>
        </w:rPr>
        <w:t>THYF</w:t>
      </w:r>
      <w:r w:rsidRPr="002A2627">
        <w:rPr>
          <w:rFonts w:eastAsia="Calibri"/>
          <w:bCs/>
          <w:szCs w:val="24"/>
          <w:lang w:eastAsia="en-US"/>
        </w:rPr>
        <w:t xml:space="preserve"> er en etablert Fylkeskommunal skole og følger de lover, forskrifter og regler som regulerer fagskolene i Norge. I tillegg er </w:t>
      </w:r>
      <w:r>
        <w:rPr>
          <w:rFonts w:eastAsia="Calibri"/>
          <w:bCs/>
          <w:szCs w:val="24"/>
          <w:lang w:eastAsia="en-US"/>
        </w:rPr>
        <w:t>skipsoffiserutdanningen</w:t>
      </w:r>
      <w:r w:rsidRPr="002A2627">
        <w:rPr>
          <w:rFonts w:eastAsia="Calibri"/>
          <w:bCs/>
          <w:szCs w:val="24"/>
          <w:lang w:eastAsia="en-US"/>
        </w:rPr>
        <w:t xml:space="preserve"> godkjent av Sjøfartsdirektoratet og følger sjøfartsdirektoratets forskrifter. Skolen er også sertifisert etter DNVGL –ST 0029 standard og skal oppfylle kravene til denne standarden.</w:t>
      </w:r>
    </w:p>
    <w:p w:rsidR="00D21C9F" w:rsidP="00D21C9F">
      <w:pPr>
        <w:spacing w:line="276" w:lineRule="auto"/>
        <w:rPr>
          <w:rFonts w:eastAsia="Calibri"/>
          <w:bCs/>
          <w:szCs w:val="24"/>
          <w:lang w:eastAsia="en-US"/>
        </w:rPr>
      </w:pPr>
    </w:p>
    <w:p w:rsidR="00D21C9F" w:rsidP="00D21C9F">
      <w:pPr>
        <w:spacing w:line="276" w:lineRule="auto"/>
        <w:rPr>
          <w:rFonts w:eastAsia="Calibri"/>
          <w:bCs/>
          <w:szCs w:val="24"/>
          <w:lang w:eastAsia="en-US"/>
        </w:rPr>
      </w:pPr>
    </w:p>
    <w:p w:rsidR="00D21C9F" w:rsidP="00D21C9F">
      <w:pPr>
        <w:spacing w:line="276" w:lineRule="auto"/>
        <w:rPr>
          <w:rFonts w:eastAsia="Calibri"/>
          <w:bCs/>
          <w:szCs w:val="24"/>
          <w:lang w:eastAsia="en-US"/>
        </w:rPr>
      </w:pPr>
    </w:p>
    <w:p w:rsidR="00D21C9F" w:rsidP="00D21C9F">
      <w:pPr>
        <w:spacing w:line="276" w:lineRule="auto"/>
        <w:rPr>
          <w:rFonts w:eastAsia="Calibri"/>
          <w:bCs/>
          <w:szCs w:val="24"/>
          <w:lang w:eastAsia="en-US"/>
        </w:rPr>
      </w:pP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</w:p>
    <w:p w:rsidR="00D21C9F" w:rsidRPr="002A2627" w:rsidP="00D21C9F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A2627">
        <w:rPr>
          <w:rFonts w:eastAsia="Calibri"/>
          <w:b/>
          <w:bCs/>
          <w:szCs w:val="24"/>
          <w:lang w:eastAsia="en-US"/>
        </w:rPr>
        <w:t>Årlige oppgaver (lokal</w:t>
      </w:r>
      <w:r>
        <w:rPr>
          <w:rFonts w:eastAsia="Calibri"/>
          <w:b/>
          <w:bCs/>
          <w:szCs w:val="24"/>
          <w:lang w:eastAsia="en-US"/>
        </w:rPr>
        <w:t>/sentral</w:t>
      </w:r>
      <w:r w:rsidRPr="002A2627">
        <w:rPr>
          <w:rFonts w:eastAsia="Calibri"/>
          <w:b/>
          <w:bCs/>
          <w:szCs w:val="24"/>
          <w:lang w:eastAsia="en-US"/>
        </w:rPr>
        <w:t xml:space="preserve"> drift)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Utarbeide info om studietilbudet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Eksamensplan</w:t>
      </w:r>
      <w:r>
        <w:rPr>
          <w:rFonts w:eastAsia="Calibri"/>
          <w:bCs/>
          <w:szCs w:val="24"/>
          <w:lang w:eastAsia="en-US"/>
        </w:rPr>
        <w:t xml:space="preserve"> (sentralt)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Kartlegging av stud</w:t>
      </w:r>
      <w:r>
        <w:rPr>
          <w:rFonts w:eastAsia="Calibri"/>
          <w:bCs/>
          <w:szCs w:val="24"/>
          <w:lang w:eastAsia="en-US"/>
        </w:rPr>
        <w:t>enten</w:t>
      </w:r>
      <w:r w:rsidRPr="002A2627">
        <w:rPr>
          <w:rFonts w:eastAsia="Calibri"/>
          <w:bCs/>
          <w:szCs w:val="24"/>
          <w:lang w:eastAsia="en-US"/>
        </w:rPr>
        <w:t xml:space="preserve"> før inntak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Oppnevning av sensorer/kvalitetssikring av sensorer</w:t>
      </w:r>
      <w:r>
        <w:rPr>
          <w:rFonts w:eastAsia="Calibri"/>
          <w:bCs/>
          <w:szCs w:val="24"/>
          <w:lang w:eastAsia="en-US"/>
        </w:rPr>
        <w:t xml:space="preserve"> (snetralt/lokalt)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Trekking til eksamen</w:t>
      </w:r>
      <w:r>
        <w:rPr>
          <w:rFonts w:eastAsia="Calibri"/>
          <w:bCs/>
          <w:szCs w:val="24"/>
          <w:lang w:eastAsia="en-US"/>
        </w:rPr>
        <w:t xml:space="preserve"> (sentralt)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Kadettundersøkelsen</w:t>
      </w:r>
      <w:r>
        <w:rPr>
          <w:rFonts w:eastAsia="Calibri"/>
          <w:bCs/>
          <w:szCs w:val="24"/>
          <w:lang w:eastAsia="en-US"/>
        </w:rPr>
        <w:t xml:space="preserve"> (sentralt)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Fagdag</w:t>
      </w:r>
      <w:r>
        <w:rPr>
          <w:rFonts w:eastAsia="Calibri"/>
          <w:bCs/>
          <w:szCs w:val="24"/>
          <w:lang w:eastAsia="en-US"/>
        </w:rPr>
        <w:t>er/planleggingsdager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Plan for kompetansehevning jf. Kompetansematrise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Søknad om særordninger ved eksamen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K</w:t>
      </w:r>
      <w:r w:rsidRPr="002A2627">
        <w:rPr>
          <w:rFonts w:eastAsia="Calibri"/>
          <w:bCs/>
          <w:szCs w:val="24"/>
          <w:lang w:eastAsia="en-US"/>
        </w:rPr>
        <w:t>araktermøte</w:t>
      </w:r>
      <w:r>
        <w:rPr>
          <w:rFonts w:eastAsia="Calibri"/>
          <w:bCs/>
          <w:szCs w:val="24"/>
          <w:lang w:eastAsia="en-US"/>
        </w:rPr>
        <w:t>r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Valg av tillitsvalgte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Info underveis om hvordan studentene ligger an i fagene jf. utsending av bekymrings-meldinger</w:t>
      </w:r>
      <w:r>
        <w:rPr>
          <w:rFonts w:eastAsia="Calibri"/>
          <w:bCs/>
          <w:szCs w:val="24"/>
          <w:lang w:eastAsia="en-US"/>
        </w:rPr>
        <w:t>/varsel om fare for ikke å få vurdering i fag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Utsending av melding</w:t>
      </w:r>
      <w:r>
        <w:rPr>
          <w:rFonts w:eastAsia="Calibri"/>
          <w:bCs/>
          <w:szCs w:val="24"/>
          <w:lang w:eastAsia="en-US"/>
        </w:rPr>
        <w:t>/varsel</w:t>
      </w:r>
      <w:r w:rsidRPr="002A2627">
        <w:rPr>
          <w:rFonts w:eastAsia="Calibri"/>
          <w:bCs/>
          <w:szCs w:val="24"/>
          <w:lang w:eastAsia="en-US"/>
        </w:rPr>
        <w:t xml:space="preserve"> om fare for ikke bestått standpunkt</w:t>
      </w:r>
      <w:r>
        <w:rPr>
          <w:rFonts w:eastAsia="Calibri"/>
          <w:bCs/>
          <w:szCs w:val="24"/>
          <w:lang w:eastAsia="en-US"/>
        </w:rPr>
        <w:t xml:space="preserve"> i fag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Studentsamtaler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Samarbeid med andre fagskoler</w:t>
      </w:r>
      <w:r>
        <w:rPr>
          <w:rFonts w:eastAsia="Calibri"/>
          <w:bCs/>
          <w:szCs w:val="24"/>
          <w:lang w:eastAsia="en-US"/>
        </w:rPr>
        <w:t xml:space="preserve"> (sentralt)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Tilsetting av lærere og instruktører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Faglig tilbud</w:t>
      </w:r>
      <w:r>
        <w:rPr>
          <w:rFonts w:eastAsia="Calibri"/>
          <w:bCs/>
          <w:szCs w:val="24"/>
          <w:lang w:eastAsia="en-US"/>
        </w:rPr>
        <w:t xml:space="preserve"> </w:t>
      </w:r>
      <w:bookmarkStart w:id="3" w:name="_Hlk29452524"/>
      <w:r>
        <w:rPr>
          <w:rFonts w:eastAsia="Calibri"/>
          <w:bCs/>
          <w:szCs w:val="24"/>
          <w:lang w:eastAsia="en-US"/>
        </w:rPr>
        <w:t>(lokalt)</w:t>
      </w:r>
    </w:p>
    <w:p w:rsidR="00D21C9F" w:rsidRPr="00964749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bookmarkEnd w:id="3"/>
      <w:r w:rsidRPr="002A2627">
        <w:rPr>
          <w:rFonts w:eastAsia="Calibri"/>
          <w:bCs/>
          <w:szCs w:val="24"/>
          <w:lang w:eastAsia="en-US"/>
        </w:rPr>
        <w:t>Budsjett og regnskap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964749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Strategi og planer</w:t>
      </w:r>
      <w:r>
        <w:rPr>
          <w:rFonts w:eastAsia="Calibri"/>
          <w:bCs/>
          <w:szCs w:val="24"/>
          <w:lang w:eastAsia="en-US"/>
        </w:rPr>
        <w:t xml:space="preserve"> (lokalt)</w:t>
      </w:r>
      <w:r w:rsidRPr="00964749">
        <w:rPr>
          <w:rFonts w:eastAsia="Calibri"/>
          <w:bCs/>
          <w:szCs w:val="24"/>
          <w:lang w:eastAsia="en-US"/>
        </w:rPr>
        <w:t xml:space="preserve"> </w:t>
      </w:r>
    </w:p>
    <w:p w:rsidR="00D21C9F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Fagskolens reglement</w:t>
      </w:r>
      <w:r>
        <w:rPr>
          <w:rFonts w:eastAsia="Calibri"/>
          <w:bCs/>
          <w:szCs w:val="24"/>
          <w:lang w:eastAsia="en-US"/>
        </w:rPr>
        <w:t xml:space="preserve">, </w:t>
      </w:r>
      <w:bookmarkStart w:id="4" w:name="_Hlk29453142"/>
      <w:r>
        <w:rPr>
          <w:rFonts w:eastAsia="Calibri"/>
          <w:bCs/>
          <w:szCs w:val="24"/>
          <w:lang w:eastAsia="en-US"/>
        </w:rPr>
        <w:t>forskrift om høyere yrkesfaglig utdanning</w:t>
      </w:r>
    </w:p>
    <w:p w:rsidR="00D21C9F" w:rsidRPr="002A2627" w:rsidP="00D21C9F">
      <w:pPr>
        <w:spacing w:after="200" w:line="276" w:lineRule="auto"/>
        <w:ind w:left="720"/>
        <w:contextualSpacing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av 2</w:t>
      </w:r>
      <w:r w:rsidR="00E93EFB">
        <w:rPr>
          <w:rFonts w:eastAsia="Calibri"/>
          <w:bCs/>
          <w:szCs w:val="24"/>
          <w:lang w:eastAsia="en-US"/>
        </w:rPr>
        <w:t>1</w:t>
      </w:r>
      <w:r>
        <w:rPr>
          <w:rFonts w:eastAsia="Calibri"/>
          <w:bCs/>
          <w:szCs w:val="24"/>
          <w:lang w:eastAsia="en-US"/>
        </w:rPr>
        <w:t xml:space="preserve">. </w:t>
      </w:r>
      <w:r w:rsidR="00E93EFB">
        <w:rPr>
          <w:rFonts w:eastAsia="Calibri"/>
          <w:bCs/>
          <w:szCs w:val="24"/>
          <w:lang w:eastAsia="en-US"/>
        </w:rPr>
        <w:t>april</w:t>
      </w:r>
      <w:r>
        <w:rPr>
          <w:rFonts w:eastAsia="Calibri"/>
          <w:bCs/>
          <w:szCs w:val="24"/>
          <w:lang w:eastAsia="en-US"/>
        </w:rPr>
        <w:t xml:space="preserve"> 20</w:t>
      </w:r>
      <w:r w:rsidR="00E93EFB">
        <w:rPr>
          <w:rFonts w:eastAsia="Calibri"/>
          <w:bCs/>
          <w:szCs w:val="24"/>
          <w:lang w:eastAsia="en-US"/>
        </w:rPr>
        <w:t>20</w:t>
      </w:r>
      <w:r>
        <w:rPr>
          <w:rFonts w:eastAsia="Calibri"/>
          <w:bCs/>
          <w:szCs w:val="24"/>
          <w:lang w:eastAsia="en-US"/>
        </w:rPr>
        <w:t xml:space="preserve">, nr. </w:t>
      </w:r>
      <w:r w:rsidR="00E93EFB">
        <w:rPr>
          <w:rFonts w:eastAsia="Calibri"/>
          <w:bCs/>
          <w:szCs w:val="24"/>
          <w:lang w:eastAsia="en-US"/>
        </w:rPr>
        <w:t>907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bookmarkEnd w:id="4"/>
      <w:r w:rsidRPr="002A2627">
        <w:rPr>
          <w:rFonts w:eastAsia="Calibri"/>
          <w:bCs/>
          <w:szCs w:val="24"/>
          <w:lang w:eastAsia="en-US"/>
        </w:rPr>
        <w:t>Gjennomgang av eksisterende kurs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V</w:t>
      </w:r>
      <w:r w:rsidRPr="002A2627">
        <w:rPr>
          <w:rFonts w:eastAsia="Calibri"/>
          <w:bCs/>
          <w:szCs w:val="24"/>
          <w:lang w:eastAsia="en-US"/>
        </w:rPr>
        <w:t>urdering og karaktersetting</w:t>
      </w:r>
      <w:r>
        <w:rPr>
          <w:rFonts w:eastAsia="Calibri"/>
          <w:bCs/>
          <w:szCs w:val="24"/>
          <w:lang w:eastAsia="en-US"/>
        </w:rPr>
        <w:t xml:space="preserve">, Nasjonal standard for vurdering (sentralt) 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Søknad om fritak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Kompetanse opplæring og bevissthet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Branninstruks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Info om skolens innhold og krav til innsats og disiplin. Info om grunnlaget for vurdering</w:t>
      </w:r>
      <w:r>
        <w:rPr>
          <w:rFonts w:eastAsia="Calibri"/>
          <w:bCs/>
          <w:szCs w:val="24"/>
          <w:lang w:eastAsia="en-US"/>
        </w:rPr>
        <w:t>,</w:t>
      </w:r>
      <w:r w:rsidRPr="00600A4D">
        <w:rPr>
          <w:rFonts w:eastAsia="Calibri"/>
          <w:bCs/>
          <w:szCs w:val="24"/>
          <w:lang w:eastAsia="en-US"/>
        </w:rPr>
        <w:t xml:space="preserve"> </w:t>
      </w:r>
      <w:r>
        <w:rPr>
          <w:rFonts w:eastAsia="Calibri"/>
          <w:bCs/>
          <w:szCs w:val="24"/>
          <w:lang w:eastAsia="en-US"/>
        </w:rPr>
        <w:t>forskrift om høyere yrkesfaglig utdanning</w:t>
      </w:r>
    </w:p>
    <w:p w:rsidR="00D21C9F" w:rsidRPr="002A2627" w:rsidP="00D21C9F">
      <w:pPr>
        <w:spacing w:after="200" w:line="276" w:lineRule="auto"/>
        <w:ind w:left="720"/>
        <w:contextualSpacing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av </w:t>
      </w:r>
      <w:r w:rsidR="003D6D76">
        <w:rPr>
          <w:rFonts w:eastAsia="Calibri"/>
          <w:bCs/>
          <w:szCs w:val="24"/>
          <w:lang w:eastAsia="en-US"/>
        </w:rPr>
        <w:t xml:space="preserve">21. april 2020, nr. 907 </w:t>
      </w:r>
      <w:r>
        <w:rPr>
          <w:rFonts w:eastAsia="Calibri"/>
          <w:bCs/>
          <w:szCs w:val="24"/>
          <w:lang w:eastAsia="en-US"/>
        </w:rPr>
        <w:t>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Innføring i bruk av avvikssystemet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Internrevisjon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Veiledning til lærerne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Ledelsens gjennomgåelse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Prøveplaner og evalueringsgrunnlag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Fremdriftsplaner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Studie</w:t>
      </w:r>
      <w:r>
        <w:rPr>
          <w:rFonts w:eastAsia="Calibri"/>
          <w:bCs/>
          <w:szCs w:val="24"/>
          <w:lang w:eastAsia="en-US"/>
        </w:rPr>
        <w:t>krav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Oppretting av studentråd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Møte med tillitsvalgte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Medarbeidersamtaler</w:t>
      </w:r>
      <w:r>
        <w:rPr>
          <w:rFonts w:eastAsia="Calibri"/>
          <w:bCs/>
          <w:szCs w:val="24"/>
          <w:lang w:eastAsia="en-US"/>
        </w:rPr>
        <w:t xml:space="preserve"> (lokalt) 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Faglærerseminar</w:t>
      </w:r>
      <w:r>
        <w:rPr>
          <w:rFonts w:eastAsia="Calibri"/>
          <w:bCs/>
          <w:szCs w:val="24"/>
          <w:lang w:eastAsia="en-US"/>
        </w:rPr>
        <w:t xml:space="preserve"> (sentralt)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Studentspørreundersøkelse</w:t>
      </w:r>
      <w:r>
        <w:rPr>
          <w:rFonts w:eastAsia="Calibri"/>
          <w:bCs/>
          <w:szCs w:val="24"/>
          <w:lang w:eastAsia="en-US"/>
        </w:rPr>
        <w:t>/studiebarometer (sentralt)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Budsjettarbeid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Periodiske evalueringer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Årsavslutning regnskap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Kvalitetsrapport</w:t>
      </w:r>
      <w:r>
        <w:rPr>
          <w:rFonts w:eastAsia="Calibri"/>
          <w:bCs/>
          <w:szCs w:val="24"/>
          <w:lang w:eastAsia="en-US"/>
        </w:rPr>
        <w:t>/årsrapport</w:t>
      </w:r>
      <w:r w:rsidRPr="002A2627">
        <w:rPr>
          <w:rFonts w:eastAsia="Calibri"/>
          <w:bCs/>
          <w:szCs w:val="24"/>
          <w:lang w:eastAsia="en-US"/>
        </w:rPr>
        <w:t xml:space="preserve"> fagskolestyret</w:t>
      </w:r>
      <w:r>
        <w:rPr>
          <w:rFonts w:eastAsia="Calibri"/>
          <w:bCs/>
          <w:szCs w:val="24"/>
          <w:lang w:eastAsia="en-US"/>
        </w:rPr>
        <w:t xml:space="preserve"> (lokalt)</w:t>
      </w:r>
    </w:p>
    <w:p w:rsidR="00D21C9F" w:rsidRPr="002A2627" w:rsidP="00D21C9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Utarbeide eksamensoppgaver og sensorveiledning</w:t>
      </w:r>
      <w:r>
        <w:rPr>
          <w:rFonts w:eastAsia="Calibri"/>
          <w:bCs/>
          <w:szCs w:val="24"/>
          <w:lang w:eastAsia="en-US"/>
        </w:rPr>
        <w:t xml:space="preserve"> (sentralt)</w:t>
      </w:r>
    </w:p>
    <w:p w:rsidR="00D21C9F" w:rsidRPr="002A2627" w:rsidP="00D21C9F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  <w:r w:rsidRPr="002A2627">
        <w:rPr>
          <w:rFonts w:eastAsia="Calibri"/>
          <w:bCs/>
          <w:szCs w:val="24"/>
          <w:lang w:eastAsia="en-US"/>
        </w:rPr>
        <w:t>Avdelingsleder</w:t>
      </w:r>
      <w:r>
        <w:rPr>
          <w:rFonts w:eastAsia="Calibri"/>
          <w:bCs/>
          <w:szCs w:val="24"/>
          <w:lang w:eastAsia="en-US"/>
        </w:rPr>
        <w:t>, koordinator og faglærere</w:t>
      </w:r>
      <w:r w:rsidRPr="002A2627">
        <w:rPr>
          <w:rFonts w:eastAsia="Calibri"/>
          <w:bCs/>
          <w:szCs w:val="24"/>
          <w:lang w:eastAsia="en-US"/>
        </w:rPr>
        <w:t xml:space="preserve"> </w:t>
      </w:r>
      <w:r>
        <w:rPr>
          <w:rFonts w:eastAsia="Calibri"/>
          <w:bCs/>
          <w:szCs w:val="24"/>
          <w:lang w:eastAsia="en-US"/>
        </w:rPr>
        <w:t xml:space="preserve">er ansvarlig </w:t>
      </w:r>
      <w:r w:rsidRPr="002A2627">
        <w:rPr>
          <w:rFonts w:eastAsia="Calibri"/>
          <w:bCs/>
          <w:szCs w:val="24"/>
          <w:lang w:eastAsia="en-US"/>
        </w:rPr>
        <w:t>for ovenfor nevnte punkter</w:t>
      </w:r>
      <w:r>
        <w:rPr>
          <w:rFonts w:eastAsia="Calibri"/>
          <w:bCs/>
          <w:szCs w:val="24"/>
          <w:lang w:eastAsia="en-US"/>
        </w:rPr>
        <w:t xml:space="preserve"> som har lokal tilknytning.</w:t>
      </w:r>
    </w:p>
    <w:p w:rsidR="00D21C9F" w:rsidRPr="002A2627" w:rsidP="00D21C9F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:rsidR="00D21C9F" w:rsidRPr="002A2627" w:rsidP="00D21C9F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A2627">
        <w:rPr>
          <w:rFonts w:eastAsia="Calibri"/>
          <w:b/>
          <w:bCs/>
          <w:szCs w:val="24"/>
          <w:lang w:eastAsia="en-US"/>
        </w:rPr>
        <w:t>Prosedyrer/rutiner:</w:t>
      </w: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  <w:r w:rsidR="00A160D9">
        <w:rPr>
          <w:rFonts w:eastAsia="Calibri"/>
          <w:bCs/>
          <w:szCs w:val="24"/>
          <w:lang w:eastAsia="en-US"/>
        </w:rPr>
        <w:t>THYF Trondheim</w:t>
      </w:r>
      <w:r w:rsidRPr="002A2627">
        <w:rPr>
          <w:rFonts w:eastAsia="Calibri"/>
          <w:bCs/>
          <w:szCs w:val="24"/>
          <w:lang w:eastAsia="en-US"/>
        </w:rPr>
        <w:t xml:space="preserve"> har etablert prosedyrer og rutiner for relevante deler av driften. Alle gyldige og gjeldende</w:t>
      </w:r>
      <w:r>
        <w:rPr>
          <w:rFonts w:eastAsia="Calibri"/>
          <w:bCs/>
          <w:szCs w:val="24"/>
          <w:lang w:eastAsia="en-US"/>
        </w:rPr>
        <w:t xml:space="preserve"> prosedyrer ligger under DEL B i kvalitetssystemet og oppdateres ved endring i regelverk eller ved endring i skolens rutiner</w:t>
      </w:r>
      <w:r w:rsidRPr="002A2627">
        <w:rPr>
          <w:rFonts w:eastAsia="Calibri"/>
          <w:bCs/>
          <w:szCs w:val="24"/>
          <w:lang w:eastAsia="en-US"/>
        </w:rPr>
        <w:t>. Alle ansatte</w:t>
      </w:r>
      <w:r>
        <w:rPr>
          <w:rFonts w:eastAsia="Calibri"/>
          <w:bCs/>
          <w:szCs w:val="24"/>
          <w:lang w:eastAsia="en-US"/>
        </w:rPr>
        <w:t xml:space="preserve"> og studenter</w:t>
      </w:r>
      <w:r w:rsidRPr="002A2627">
        <w:rPr>
          <w:rFonts w:eastAsia="Calibri"/>
          <w:bCs/>
          <w:szCs w:val="24"/>
          <w:lang w:eastAsia="en-US"/>
        </w:rPr>
        <w:t xml:space="preserve"> har leserrettigheter på </w:t>
      </w:r>
      <w:r>
        <w:rPr>
          <w:rFonts w:eastAsia="Calibri"/>
          <w:bCs/>
          <w:szCs w:val="24"/>
          <w:lang w:eastAsia="en-US"/>
        </w:rPr>
        <w:t>EK-web</w:t>
      </w:r>
      <w:r w:rsidRPr="002A2627">
        <w:rPr>
          <w:rFonts w:eastAsia="Calibri"/>
          <w:bCs/>
          <w:szCs w:val="24"/>
          <w:lang w:eastAsia="en-US"/>
        </w:rPr>
        <w:t xml:space="preserve">. En ny prosedyre eller rutine skal godkjennes av </w:t>
      </w:r>
      <w:r>
        <w:rPr>
          <w:rFonts w:eastAsia="Calibri"/>
          <w:bCs/>
          <w:szCs w:val="24"/>
          <w:lang w:eastAsia="en-US"/>
        </w:rPr>
        <w:t xml:space="preserve">rektor eller </w:t>
      </w:r>
      <w:r w:rsidRPr="002A2627">
        <w:rPr>
          <w:rFonts w:eastAsia="Calibri"/>
          <w:bCs/>
          <w:szCs w:val="24"/>
          <w:lang w:eastAsia="en-US"/>
        </w:rPr>
        <w:t xml:space="preserve">administrerende leder og implementeres med alle ansatte. </w:t>
      </w: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</w:p>
    <w:p w:rsidR="00D21C9F" w:rsidRPr="002A2627" w:rsidP="00D21C9F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A2627">
        <w:rPr>
          <w:rFonts w:eastAsia="Calibri"/>
          <w:b/>
          <w:bCs/>
          <w:szCs w:val="24"/>
          <w:lang w:eastAsia="en-US"/>
        </w:rPr>
        <w:t>Stillingsinstrukser</w:t>
      </w:r>
    </w:p>
    <w:p w:rsidR="00D21C9F" w:rsidRPr="002A2627" w:rsidP="00D21C9F">
      <w:pPr>
        <w:spacing w:line="276" w:lineRule="auto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S</w:t>
      </w:r>
      <w:r w:rsidRPr="002A2627">
        <w:rPr>
          <w:rFonts w:eastAsia="Calibri"/>
          <w:bCs/>
          <w:szCs w:val="24"/>
          <w:lang w:eastAsia="en-US"/>
        </w:rPr>
        <w:t xml:space="preserve">tillingsbeskrivelser </w:t>
      </w:r>
      <w:r>
        <w:rPr>
          <w:rFonts w:eastAsia="Calibri"/>
          <w:bCs/>
          <w:szCs w:val="24"/>
          <w:lang w:eastAsia="en-US"/>
        </w:rPr>
        <w:t>ligger under DEL A, kapittel 1.3, Organisasjon i kvalitetssystemet.</w:t>
      </w:r>
    </w:p>
    <w:p w:rsidR="00D21C9F" w:rsidRPr="00E54051" w:rsidP="00D21C9F">
      <w:pPr>
        <w:rPr>
          <w:b/>
          <w:color w:val="002060"/>
          <w:szCs w:val="24"/>
        </w:rPr>
      </w:pPr>
    </w:p>
    <w:p w:rsidR="002A2627" w:rsidRPr="00134207" w:rsidP="00B64937">
      <w:pPr>
        <w:ind w:left="360"/>
        <w:rPr>
          <w:b/>
          <w:color w:val="002060"/>
        </w:rPr>
      </w:pPr>
    </w:p>
    <w:p w:rsidR="00B64937" w:rsidP="00B64937">
      <w:pPr>
        <w:ind w:left="720"/>
      </w:pPr>
      <w:r w:rsidR="005E6E15">
        <w:t xml:space="preserve"> I </w:t>
      </w:r>
    </w:p>
    <w:p w:rsidR="005E6E15" w:rsidRPr="005E6E15" w:rsidP="00B00E59">
      <w:pPr>
        <w:numPr>
          <w:ilvl w:val="0"/>
          <w:numId w:val="5"/>
        </w:numPr>
        <w:rPr>
          <w:b/>
        </w:rPr>
      </w:pPr>
      <w:r w:rsidRPr="006E4108" w:rsidR="004F19EF">
        <w:rPr>
          <w:b/>
        </w:rPr>
        <w:t>Refera</w:t>
      </w:r>
      <w:r w:rsidRPr="006E4108" w:rsidR="006E4108">
        <w:rPr>
          <w:b/>
        </w:rPr>
        <w:t>nser til:</w:t>
        <w:tab/>
      </w:r>
      <w:r w:rsidRPr="005E6E15">
        <w:rPr>
          <w:b/>
        </w:rPr>
        <w:t>Fagskolestyret for de fylkeskommunale fagskolene i</w:t>
      </w:r>
    </w:p>
    <w:p w:rsidR="00B64937" w:rsidRPr="005E6E15" w:rsidP="005E6E15">
      <w:pPr>
        <w:ind w:left="1080"/>
        <w:rPr>
          <w:b/>
        </w:rPr>
      </w:pPr>
      <w:r w:rsidRPr="005E6E15" w:rsidR="005E6E15">
        <w:rPr>
          <w:b/>
        </w:rPr>
        <w:t xml:space="preserve">                             Trøndelag</w:t>
      </w:r>
      <w:r w:rsidR="005E6E15">
        <w:rPr>
          <w:b/>
        </w:rPr>
        <w:t xml:space="preserve"> (styrevedtak)</w:t>
      </w:r>
    </w:p>
    <w:p w:rsidR="00B00E59" w:rsidP="00B00E59">
      <w:pPr>
        <w:numPr>
          <w:ilvl w:val="0"/>
          <w:numId w:val="5"/>
        </w:numPr>
        <w:rPr>
          <w:b/>
        </w:rPr>
      </w:pPr>
      <w:r>
        <w:rPr>
          <w:b/>
        </w:rPr>
        <w:t>Referanser til:</w:t>
        <w:tab/>
        <w:t>Fremdri</w:t>
      </w:r>
      <w:r w:rsidR="0028783D">
        <w:rPr>
          <w:b/>
        </w:rPr>
        <w:t>ftsplaner lenket til Canvas</w:t>
      </w:r>
    </w:p>
    <w:p w:rsidR="00134207" w:rsidRPr="00134207" w:rsidP="00134207">
      <w:pPr>
        <w:numPr>
          <w:ilvl w:val="0"/>
          <w:numId w:val="5"/>
        </w:numPr>
        <w:rPr>
          <w:b/>
        </w:rPr>
      </w:pPr>
      <w:hyperlink r:id="rId12" w:tgtFrame="_blank" w:history="1">
        <w:r w:rsidRPr="00134207">
          <w:rPr>
            <w:rStyle w:val="normaltextrun"/>
            <w:rFonts w:ascii="Calibri" w:hAnsi="Calibri" w:cs="Calibri"/>
            <w:color w:val="0000FF"/>
            <w:szCs w:val="24"/>
          </w:rPr>
          <w:t>Link til felles dokumentstyringgssystem</w:t>
        </w:r>
      </w:hyperlink>
    </w:p>
    <w:p w:rsidR="004F19EF" w:rsidP="00B64937">
      <w:pPr>
        <w:ind w:left="360"/>
      </w:pPr>
    </w:p>
    <w:p w:rsidR="004F19EF" w:rsidP="004F19EF">
      <w:pPr>
        <w:rPr>
          <w:b/>
        </w:rPr>
      </w:pPr>
      <w:r>
        <w:rPr>
          <w:b/>
        </w:rPr>
        <w:t>4.   Endring og godkjenning av prosedyren</w:t>
      </w:r>
    </w:p>
    <w:p w:rsidR="004F19EF" w:rsidP="004F19EF">
      <w:pPr>
        <w:ind w:left="426" w:hanging="66"/>
      </w:pPr>
      <w:r>
        <w:t>Viser til ”prosedyre for endring og godkjenning av prosedyrer”</w:t>
      </w:r>
    </w:p>
    <w:p w:rsidR="004F19EF" w:rsidP="004F19EF"/>
    <w:p w:rsidR="004F19EF" w:rsidP="004F19EF">
      <w:pPr>
        <w:rPr>
          <w:b/>
        </w:rPr>
      </w:pPr>
      <w:r>
        <w:rPr>
          <w:b/>
        </w:rPr>
        <w:t>5.   Systemforbindelse</w:t>
      </w:r>
    </w:p>
    <w:p w:rsidR="004F19EF" w:rsidP="004F19EF">
      <w:pPr>
        <w:ind w:left="426" w:hanging="66"/>
      </w:pPr>
      <w:r>
        <w:t>Kvalitetsystem - DEL-B.</w:t>
      </w:r>
    </w:p>
    <w:p w:rsidR="001C0FFA"/>
    <w:p w:rsidR="001C0FFA">
      <w:r>
        <w:t>Eksterne referanser</w:t>
      </w:r>
    </w:p>
    <w:p w:rsidR="001C0FFA" w:rsidRPr="00277895">
      <w:pPr>
        <w:rPr>
          <w:color w:val="0070C0"/>
        </w:rPr>
      </w:pPr>
    </w:p>
    <w:p w:rsidR="00277895" w:rsidRPr="00277895">
      <w:pPr>
        <w:rPr>
          <w:color w:val="0070C0"/>
        </w:rPr>
      </w:pPr>
      <w:r w:rsidRPr="00277895">
        <w:rPr>
          <w:color w:val="0070C0"/>
        </w:rPr>
        <w:t>MTP DNVGL – ST – 0029</w:t>
      </w:r>
    </w:p>
    <w:p w:rsidR="00277895" w:rsidRPr="00277895">
      <w:pPr>
        <w:rPr>
          <w:color w:val="0070C0"/>
        </w:rPr>
      </w:pPr>
    </w:p>
    <w:p w:rsidR="00277895" w:rsidRPr="00277895">
      <w:pPr>
        <w:rPr>
          <w:color w:val="0070C0"/>
        </w:rPr>
      </w:pPr>
      <w:r w:rsidRPr="00277895">
        <w:rPr>
          <w:color w:val="0070C0"/>
        </w:rPr>
        <w:t>2.2</w:t>
        <w:tab/>
        <w:t>Process control</w:t>
      </w:r>
    </w:p>
    <w:p w:rsidR="00277895" w:rsidRPr="00277895">
      <w:pPr>
        <w:rPr>
          <w:color w:val="0070C0"/>
        </w:rPr>
      </w:pPr>
      <w:r w:rsidRPr="00277895">
        <w:rPr>
          <w:color w:val="0070C0"/>
        </w:rPr>
        <w:t>2.2.1</w:t>
        <w:tab/>
        <w:t>Process</w:t>
      </w:r>
    </w:p>
    <w:sectPr w:rsidSect="00627AAF"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31.05.2024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PROSESSOVERVÅKING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3.7.8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6</w:t>
          </w:r>
          <w:r>
            <w:rPr>
              <w:sz w:val="20"/>
            </w:rPr>
            <w:fldChar w:fldCharType="end"/>
          </w:r>
        </w:p>
      </w:tc>
    </w:tr>
  </w:tbl>
  <w:p w:rsidR="001C0FFA" w:rsidP="00627A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2BC"/>
    <w:multiLevelType w:val="hybridMultilevel"/>
    <w:tmpl w:val="CE6A522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26B34"/>
    <w:multiLevelType w:val="hybridMultilevel"/>
    <w:tmpl w:val="0840F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0CCE"/>
    <w:multiLevelType w:val="hybridMultilevel"/>
    <w:tmpl w:val="D1F05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721E"/>
    <w:multiLevelType w:val="multilevel"/>
    <w:tmpl w:val="8A3A6C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DB70346"/>
    <w:multiLevelType w:val="hybridMultilevel"/>
    <w:tmpl w:val="736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FA284E"/>
    <w:multiLevelType w:val="hybridMultilevel"/>
    <w:tmpl w:val="E432F0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71863"/>
    <w:rsid w:val="00075EE5"/>
    <w:rsid w:val="0007673F"/>
    <w:rsid w:val="000B13CA"/>
    <w:rsid w:val="000F3BF2"/>
    <w:rsid w:val="00134207"/>
    <w:rsid w:val="0017186B"/>
    <w:rsid w:val="001C0FFA"/>
    <w:rsid w:val="001D54EC"/>
    <w:rsid w:val="00200E60"/>
    <w:rsid w:val="00217B45"/>
    <w:rsid w:val="00230AD3"/>
    <w:rsid w:val="00234A78"/>
    <w:rsid w:val="002545D4"/>
    <w:rsid w:val="00277895"/>
    <w:rsid w:val="0028783D"/>
    <w:rsid w:val="002A2627"/>
    <w:rsid w:val="002C61E0"/>
    <w:rsid w:val="00302BB3"/>
    <w:rsid w:val="00311A38"/>
    <w:rsid w:val="00342281"/>
    <w:rsid w:val="00373B46"/>
    <w:rsid w:val="003B5D64"/>
    <w:rsid w:val="003C045B"/>
    <w:rsid w:val="003D6D76"/>
    <w:rsid w:val="003E1953"/>
    <w:rsid w:val="003F4DCB"/>
    <w:rsid w:val="0041177D"/>
    <w:rsid w:val="00417CA7"/>
    <w:rsid w:val="0044027B"/>
    <w:rsid w:val="00453D7E"/>
    <w:rsid w:val="00460FF9"/>
    <w:rsid w:val="004B08E0"/>
    <w:rsid w:val="004D0AB1"/>
    <w:rsid w:val="004E11AF"/>
    <w:rsid w:val="004F19EF"/>
    <w:rsid w:val="004F400D"/>
    <w:rsid w:val="00554297"/>
    <w:rsid w:val="005557F0"/>
    <w:rsid w:val="00570990"/>
    <w:rsid w:val="00572848"/>
    <w:rsid w:val="00572E16"/>
    <w:rsid w:val="00574FC1"/>
    <w:rsid w:val="00593ADB"/>
    <w:rsid w:val="005A5CCF"/>
    <w:rsid w:val="005A6D01"/>
    <w:rsid w:val="005B5B71"/>
    <w:rsid w:val="005E50B6"/>
    <w:rsid w:val="005E6E15"/>
    <w:rsid w:val="005F2391"/>
    <w:rsid w:val="00600A4D"/>
    <w:rsid w:val="00611956"/>
    <w:rsid w:val="00627AAF"/>
    <w:rsid w:val="00637B7E"/>
    <w:rsid w:val="006503E7"/>
    <w:rsid w:val="006A2FE3"/>
    <w:rsid w:val="006B040B"/>
    <w:rsid w:val="006B2054"/>
    <w:rsid w:val="006C3F7F"/>
    <w:rsid w:val="006E4108"/>
    <w:rsid w:val="006E7D7B"/>
    <w:rsid w:val="00722AE0"/>
    <w:rsid w:val="00820963"/>
    <w:rsid w:val="0082397C"/>
    <w:rsid w:val="00860F8B"/>
    <w:rsid w:val="00892C79"/>
    <w:rsid w:val="00913BA4"/>
    <w:rsid w:val="0092530B"/>
    <w:rsid w:val="00955C5D"/>
    <w:rsid w:val="00955E4B"/>
    <w:rsid w:val="00960B2A"/>
    <w:rsid w:val="00964749"/>
    <w:rsid w:val="00976587"/>
    <w:rsid w:val="00977653"/>
    <w:rsid w:val="00997238"/>
    <w:rsid w:val="009B224C"/>
    <w:rsid w:val="009B4D5B"/>
    <w:rsid w:val="009E7136"/>
    <w:rsid w:val="00A10CF4"/>
    <w:rsid w:val="00A16002"/>
    <w:rsid w:val="00A160D9"/>
    <w:rsid w:val="00A63B92"/>
    <w:rsid w:val="00A96950"/>
    <w:rsid w:val="00AC75D9"/>
    <w:rsid w:val="00B00E59"/>
    <w:rsid w:val="00B15DA1"/>
    <w:rsid w:val="00B3327D"/>
    <w:rsid w:val="00B614BA"/>
    <w:rsid w:val="00B64937"/>
    <w:rsid w:val="00B6579D"/>
    <w:rsid w:val="00B83BC3"/>
    <w:rsid w:val="00BB0597"/>
    <w:rsid w:val="00BE47D9"/>
    <w:rsid w:val="00C0284B"/>
    <w:rsid w:val="00C57C65"/>
    <w:rsid w:val="00C66D16"/>
    <w:rsid w:val="00C9166A"/>
    <w:rsid w:val="00CD3B3F"/>
    <w:rsid w:val="00CD645F"/>
    <w:rsid w:val="00CE160E"/>
    <w:rsid w:val="00CE7A12"/>
    <w:rsid w:val="00D069F3"/>
    <w:rsid w:val="00D21C9F"/>
    <w:rsid w:val="00D343D4"/>
    <w:rsid w:val="00D46625"/>
    <w:rsid w:val="00D534C4"/>
    <w:rsid w:val="00D74524"/>
    <w:rsid w:val="00D858A4"/>
    <w:rsid w:val="00DF50A3"/>
    <w:rsid w:val="00E075E7"/>
    <w:rsid w:val="00E54051"/>
    <w:rsid w:val="00E81D31"/>
    <w:rsid w:val="00E91EB4"/>
    <w:rsid w:val="00E93EFB"/>
    <w:rsid w:val="00ED4066"/>
    <w:rsid w:val="00F254A4"/>
    <w:rsid w:val="00F27915"/>
    <w:rsid w:val="00F6560D"/>
    <w:rsid w:val="00FC0B10"/>
    <w:rsid w:val="00FD731A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8.2021¤3#EK_Opprettet¤2#0¤2#04.03.2015¤3#EK_Utgitt¤2#0¤2#09.03.2015¤3#EK_IBrukDato¤2#0¤2#13.08.2021¤3#EK_DokumentID¤2#0¤2#D00127¤3#EK_DokTittel¤2#0¤2#PROSESSOVERVÅKING¤3#EK_DokType¤2#0¤2#Prosedyre¤3#EK_EksRef¤2#2¤2# 2 2.2 Process control 00012  ¤1#2.2.1 Processes 00013  ¤1#¤3#EK_Erstatter¤2#0¤2#8.04¤3#EK_ErstatterD¤2#0¤2#12.02.2021¤3#EK_Signatur¤2#0¤2#EIWI¤3#EK_Verifisert¤2#0¤2# ¤3#EK_Hørt¤2#0¤2# ¤3#EK_AuditReview¤2#2¤2# ¤3#EK_AuditApprove¤2#2¤2# ¤3#EK_Gradering¤2#0¤2#Åpen¤3#EK_Gradnr¤2#4¤2#0¤3#EK_Kapittel¤2#4¤2# ¤3#EK_Referanse¤2#2¤2# 0 ¤3#EK_RefNr¤2#0¤2#PRO.3¤3#EK_Revisjon¤2#0¤2#9.00¤3#EK_Ansvarlig¤2#0¤2#Raymond Wågø¤3#EK_SkrevetAv¤2#0¤2#WAR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9.00¤3#EK_Merknad¤2#7¤2#Satt inn Prosesskart¤3#EK_VerLogg¤2#2¤2#Ver. 9.00 - 13.08.2021|Satt inn Prosesskart¤1#Ver. 8.04 - 12.02.2021|Endret EK ansvarlig og skolenavn&#13;&#10;Forlenget gyldighet til 12.02.2022¤1#Ver. 8.03 - 14.09.2020|¤1#Ver. 8.02 - 13.01.2020|¤1#Ver. 8.01 - 13.01.2020|¤1#Ver. 8.00 - 09.01.2020|Det er foretatt en del omfattende tilføyninger i prosedyren.&#13;&#10;Se prosedyren.¤1#Ver. 7.00 - 03.04.2019|¤1#Ver. 6.02 - 07.12.2018|¤1#Ver. 6.01 - 16.11.2018|¤1#Ver. 6.00 - 05.03.2018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13.08.2022¤3#EK_Vedlegg¤2#2¤2# 0 ¤3#EK_AvdelingOver¤2#4¤2# ¤3#EK_HRefNr¤2#0¤2# ¤3#EK_HbNavn¤2#0¤2# ¤3#EK_DokRefnr¤2#4¤2#000201¤3#EK_Dokendrdato¤2#4¤2#12.02.2021 11:56:48¤3#EK_HbType¤2#4¤2# ¤3#EK_Offisiell¤2#4¤2# ¤3#EK_VedleggRef¤2#4¤2#PRO.3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8.04"/>
    <w:docVar w:name="ek_erstatterd" w:val="12.02.2021"/>
    <w:docVar w:name="ek_format" w:val="-2"/>
    <w:docVar w:name="ek_gjelderfra" w:val="13.08.2021"/>
    <w:docVar w:name="ek_gjeldertil" w:val="13.08.2022"/>
    <w:docVar w:name="ek_hbnavn" w:val=" "/>
    <w:docVar w:name="ek_hrefnr" w:val=" "/>
    <w:docVar w:name="ek_hørt" w:val=" "/>
    <w:docVar w:name="ek_ibrukdato" w:val="13.08.2021"/>
    <w:docVar w:name="ek_merknad" w:val="Satt inn Prosesskart"/>
    <w:docVar w:name="ek_revisjon" w:val="9.00"/>
    <w:docVar w:name="ek_signatur" w:val="EIWI"/>
    <w:docVar w:name="ek_skrevetav" w:val="WARA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9.00"/>
    <w:docVar w:name="ek_verifisert" w:val=" "/>
    <w:docVar w:name="Erstatter" w:val="lab_erstatter"/>
    <w:docVar w:name="idek_eksref" w:val=";00012;00013;"/>
    <w:docVar w:name="idxr" w:val=";00012;00013;"/>
    <w:docVar w:name="KHB" w:val="UB"/>
    <w:docVar w:name="skitten" w:val="0"/>
    <w:docVar w:name="Tittel" w:val="Dette er en Test tittel."/>
    <w:docVar w:name="xr00012" w:val="2.2"/>
    <w:docVar w:name="xr00013" w:val="2.2.1"/>
    <w:docVar w:name="xrl00012" w:val="2.2 Process control"/>
    <w:docVar w:name="xrl00013" w:val="2.2.1 Processes"/>
    <w:docVar w:name="xrt00012" w:val="Process control"/>
    <w:docVar w:name="xrt00013" w:val="Processes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134207"/>
    <w:rPr>
      <w:szCs w:val="24"/>
    </w:rPr>
  </w:style>
  <w:style w:type="character" w:customStyle="1" w:styleId="normaltextrun">
    <w:name w:val="normaltextrun"/>
    <w:rsid w:val="001342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1.png" /><Relationship Id="rId12" Type="http://schemas.openxmlformats.org/officeDocument/2006/relationships/hyperlink" Target="http://dkmar.skylar.no/EKWeb/start.aspx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A030-BB41-4E51-8935-F53D49D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6</Pages>
  <Words>990</Words>
  <Characters>7090</Characters>
  <Application>Microsoft Office Word</Application>
  <DocSecurity>0</DocSecurity>
  <Lines>202</Lines>
  <Paragraphs>144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PROSESSOVERVÅKING</vt:lpstr>
      <vt:lpstr>	</vt:lpstr>
    </vt:vector>
  </TitlesOfParts>
  <Company>Datakvalitet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PROSESSOVERVÅKING</dc:title>
  <dc:subject>000201|PRO.3|</dc:subject>
  <dc:creator>Handbok</dc:creator>
  <dc:description>EK_Avdeling4 EK_Avsnitt4 EK_Bedriftsnavn1TRØNDELAG HØYERE YRKESFAGSKOLE avd. TRONDHEIMEK_GjelderFra013.08.2021EK_Opprettet004.03.2015EK_Utgitt009.03.2015EK_IBrukDato013.08.2021EK_DokumentID0D00127EK_DokTittel0PROSESSOVERVÅKINGEK_DokType0ProsedyreEK_EksRef2 2	2.2	Process control	00012		2.2.1	Processes	00013		EK_Erstatter08.04EK_ErstatterD012.02.2021EK_Signatur0EIWIEK_Verifisert0 EK_Hørt0 EK_AuditReview2 EK_AuditApprove2 EK_Gradering0ÅpenEK_Gradnr40EK_Kapittel4 EK_Referanse2 0	EK_RefNr0PRO.3EK_Revisjon09.00EK_Ansvarlig0Raymond WågøEK_SkrevetAv0WARAEK_UText10 EK_UText20 EK_UText30 EK_UText40 EK_Status0I brukEK_Stikkord0EK_SuperStikkord0EK_Rapport3EK_EKPrintMerke0Uoffisiell utskrift er kun gyldig på utskriftsdatoEK_Watermark0EK_Utgave09.00EK_Merknad7Satt inn ProsesskartEK_VerLogg2Ver. 9.00 - 13.08.2021|Satt inn ProsesskartVer. 8.04 - 12.02.2021|Endret EK ansvarlig og skolenavn
Forlenget gyldighet til 12.02.2022Ver. 8.03 - 14.09.2020|Ver. 8.02 - 13.01.2020|Ver. 8.01 - 13.01.2020|Ver. 8.00 - 09.01.2020|Det er foretatt en del omfattende tilføyninger i prosedyren.
Se prosedyren.Ver. 7.00 - 03.04.2019|Ver. 6.02 - 07.12.2018|Ver. 6.01 - 16.11.2018|Ver. 6.00 - 05.03.2018|EK_RF14 EK_RF24 EK_RF34 EK_RF44 EK_RF54 EK_RF64 EK_RF74 EK_RF84 EK_RF94 EK_Mappe14 EK_Mappe24 EK_Mappe34 EK_Mappe44 EK_Mappe54 EK_Mappe64 EK_Mappe74 EK_Mappe84 EK_Mappe94 EK_DL03EK_GjelderTil013.08.2022EK_Vedlegg2 0	EK_AvdelingOver4 EK_HRefNr0 EK_HbNavn0 EK_DokRefnr4000201EK_Dokendrdato412.02.2021 11:56:48EK_HbType4 EK_Offisiell4 EK_VedleggRef4PRO.3EK_Strukt005KVALITETSYSTEM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2021-08-13T09:10:00Z</dcterms:created>
  <dcterms:modified xsi:type="dcterms:W3CDTF">2021-08-13T09:10:00Z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PROSESSOVERVÅKING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13.08.2021</vt:lpwstr>
  </property>
  <property fmtid="{D5CDD505-2E9C-101B-9397-08002B2CF9AE}" pid="7" name="EK_RefNr">
    <vt:lpwstr>3.7.8</vt:lpwstr>
  </property>
  <property fmtid="{D5CDD505-2E9C-101B-9397-08002B2CF9AE}" pid="8" name="EK_Signatur">
    <vt:lpwstr>EIWI</vt:lpwstr>
  </property>
  <property fmtid="{D5CDD505-2E9C-101B-9397-08002B2CF9AE}" pid="9" name="EK_Utgave">
    <vt:lpwstr>9.00</vt:lpwstr>
  </property>
  <property fmtid="{D5CDD505-2E9C-101B-9397-08002B2CF9AE}" pid="10" name="EK_Watermark">
    <vt:lpwstr/>
  </property>
  <property fmtid="{D5CDD505-2E9C-101B-9397-08002B2CF9AE}" pid="11" name="XRF00012">
    <vt:lpwstr/>
  </property>
  <property fmtid="{D5CDD505-2E9C-101B-9397-08002B2CF9AE}" pid="12" name="XRF00013">
    <vt:lpwstr/>
  </property>
</Properties>
</file>